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5169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01267A51" w14:textId="0AAC0A6F" w:rsidR="00442BF7" w:rsidRDefault="00F46719" w:rsidP="00442BF7">
          <w:pPr>
            <w:pStyle w:val="TDC2"/>
            <w:rPr>
              <w:rFonts w:asciiTheme="minorHAnsi" w:eastAsiaTheme="minorEastAsia" w:hAnsiTheme="minorHAnsi" w:cstheme="minorBidi"/>
              <w:lang w:eastAsia="es-MX"/>
            </w:rPr>
          </w:pPr>
          <w:r>
            <w:fldChar w:fldCharType="begin"/>
          </w:r>
          <w:r>
            <w:instrText xml:space="preserve"> TOC \o "1-3" \h \z \u </w:instrText>
          </w:r>
          <w:r>
            <w:fldChar w:fldCharType="separate"/>
          </w:r>
          <w:hyperlink w:anchor="_Toc69905418" w:history="1">
            <w:r w:rsidR="00442BF7" w:rsidRPr="00667BAB">
              <w:rPr>
                <w:rStyle w:val="Hipervnculo"/>
              </w:rPr>
              <w:t>1. Introducción:</w:t>
            </w:r>
            <w:r w:rsidR="00442BF7">
              <w:rPr>
                <w:webHidden/>
              </w:rPr>
              <w:tab/>
            </w:r>
            <w:r w:rsidR="00442BF7">
              <w:rPr>
                <w:webHidden/>
              </w:rPr>
              <w:fldChar w:fldCharType="begin"/>
            </w:r>
            <w:r w:rsidR="00442BF7">
              <w:rPr>
                <w:webHidden/>
              </w:rPr>
              <w:instrText xml:space="preserve"> PAGEREF _Toc69905418 \h </w:instrText>
            </w:r>
            <w:r w:rsidR="00442BF7">
              <w:rPr>
                <w:webHidden/>
              </w:rPr>
            </w:r>
            <w:r w:rsidR="00442BF7">
              <w:rPr>
                <w:webHidden/>
              </w:rPr>
              <w:fldChar w:fldCharType="separate"/>
            </w:r>
            <w:r w:rsidR="00C51690">
              <w:rPr>
                <w:webHidden/>
              </w:rPr>
              <w:t>2</w:t>
            </w:r>
            <w:r w:rsidR="00442BF7">
              <w:rPr>
                <w:webHidden/>
              </w:rPr>
              <w:fldChar w:fldCharType="end"/>
            </w:r>
          </w:hyperlink>
        </w:p>
        <w:p w14:paraId="3C2F2C93" w14:textId="30D7F4B8" w:rsidR="00442BF7" w:rsidRDefault="00C51690" w:rsidP="00442BF7">
          <w:pPr>
            <w:pStyle w:val="TDC2"/>
            <w:rPr>
              <w:rFonts w:asciiTheme="minorHAnsi" w:eastAsiaTheme="minorEastAsia" w:hAnsiTheme="minorHAnsi" w:cstheme="minorBidi"/>
              <w:lang w:eastAsia="es-MX"/>
            </w:rPr>
          </w:pPr>
          <w:hyperlink w:anchor="_Toc69905419" w:history="1">
            <w:r w:rsidR="00442BF7" w:rsidRPr="00667BAB">
              <w:rPr>
                <w:rStyle w:val="Hipervnculo"/>
              </w:rPr>
              <w:t>2. Describir el panorama Económico y Financiero:</w:t>
            </w:r>
            <w:r w:rsidR="00442BF7">
              <w:rPr>
                <w:webHidden/>
              </w:rPr>
              <w:tab/>
            </w:r>
            <w:r w:rsidR="00442BF7">
              <w:rPr>
                <w:webHidden/>
              </w:rPr>
              <w:fldChar w:fldCharType="begin"/>
            </w:r>
            <w:r w:rsidR="00442BF7">
              <w:rPr>
                <w:webHidden/>
              </w:rPr>
              <w:instrText xml:space="preserve"> PAGEREF _Toc69905419 \h </w:instrText>
            </w:r>
            <w:r w:rsidR="00442BF7">
              <w:rPr>
                <w:webHidden/>
              </w:rPr>
            </w:r>
            <w:r w:rsidR="00442BF7">
              <w:rPr>
                <w:webHidden/>
              </w:rPr>
              <w:fldChar w:fldCharType="separate"/>
            </w:r>
            <w:r>
              <w:rPr>
                <w:webHidden/>
              </w:rPr>
              <w:t>2</w:t>
            </w:r>
            <w:r w:rsidR="00442BF7">
              <w:rPr>
                <w:webHidden/>
              </w:rPr>
              <w:fldChar w:fldCharType="end"/>
            </w:r>
          </w:hyperlink>
        </w:p>
        <w:p w14:paraId="78CDD140" w14:textId="495DCB9D" w:rsidR="00442BF7" w:rsidRDefault="00C51690" w:rsidP="00442BF7">
          <w:pPr>
            <w:pStyle w:val="TDC2"/>
            <w:rPr>
              <w:rFonts w:asciiTheme="minorHAnsi" w:eastAsiaTheme="minorEastAsia" w:hAnsiTheme="minorHAnsi" w:cstheme="minorBidi"/>
              <w:lang w:eastAsia="es-MX"/>
            </w:rPr>
          </w:pPr>
          <w:hyperlink w:anchor="_Toc69905420" w:history="1">
            <w:r w:rsidR="00442BF7" w:rsidRPr="00667BAB">
              <w:rPr>
                <w:rStyle w:val="Hipervnculo"/>
              </w:rPr>
              <w:t>3. Autorización e Historia:</w:t>
            </w:r>
            <w:r w:rsidR="00442BF7">
              <w:rPr>
                <w:webHidden/>
              </w:rPr>
              <w:tab/>
            </w:r>
            <w:r w:rsidR="00442BF7">
              <w:rPr>
                <w:webHidden/>
              </w:rPr>
              <w:fldChar w:fldCharType="begin"/>
            </w:r>
            <w:r w:rsidR="00442BF7">
              <w:rPr>
                <w:webHidden/>
              </w:rPr>
              <w:instrText xml:space="preserve"> PAGEREF _Toc69905420 \h </w:instrText>
            </w:r>
            <w:r w:rsidR="00442BF7">
              <w:rPr>
                <w:webHidden/>
              </w:rPr>
            </w:r>
            <w:r w:rsidR="00442BF7">
              <w:rPr>
                <w:webHidden/>
              </w:rPr>
              <w:fldChar w:fldCharType="separate"/>
            </w:r>
            <w:r>
              <w:rPr>
                <w:webHidden/>
              </w:rPr>
              <w:t>2</w:t>
            </w:r>
            <w:r w:rsidR="00442BF7">
              <w:rPr>
                <w:webHidden/>
              </w:rPr>
              <w:fldChar w:fldCharType="end"/>
            </w:r>
          </w:hyperlink>
        </w:p>
        <w:p w14:paraId="0AE1855B" w14:textId="2D1A1B2F" w:rsidR="00442BF7" w:rsidRDefault="00C51690" w:rsidP="00442BF7">
          <w:pPr>
            <w:pStyle w:val="TDC2"/>
            <w:rPr>
              <w:rFonts w:asciiTheme="minorHAnsi" w:eastAsiaTheme="minorEastAsia" w:hAnsiTheme="minorHAnsi" w:cstheme="minorBidi"/>
              <w:lang w:eastAsia="es-MX"/>
            </w:rPr>
          </w:pPr>
          <w:hyperlink w:anchor="_Toc69905421" w:history="1">
            <w:r w:rsidR="00442BF7" w:rsidRPr="00667BAB">
              <w:rPr>
                <w:rStyle w:val="Hipervnculo"/>
              </w:rPr>
              <w:t>4. Organización y Objeto Social:</w:t>
            </w:r>
            <w:r w:rsidR="00442BF7">
              <w:rPr>
                <w:webHidden/>
              </w:rPr>
              <w:tab/>
            </w:r>
            <w:r w:rsidR="00442BF7">
              <w:rPr>
                <w:webHidden/>
              </w:rPr>
              <w:fldChar w:fldCharType="begin"/>
            </w:r>
            <w:r w:rsidR="00442BF7">
              <w:rPr>
                <w:webHidden/>
              </w:rPr>
              <w:instrText xml:space="preserve"> PAGEREF _Toc69905421 \h </w:instrText>
            </w:r>
            <w:r w:rsidR="00442BF7">
              <w:rPr>
                <w:webHidden/>
              </w:rPr>
            </w:r>
            <w:r w:rsidR="00442BF7">
              <w:rPr>
                <w:webHidden/>
              </w:rPr>
              <w:fldChar w:fldCharType="separate"/>
            </w:r>
            <w:r>
              <w:rPr>
                <w:webHidden/>
              </w:rPr>
              <w:t>2</w:t>
            </w:r>
            <w:r w:rsidR="00442BF7">
              <w:rPr>
                <w:webHidden/>
              </w:rPr>
              <w:fldChar w:fldCharType="end"/>
            </w:r>
          </w:hyperlink>
        </w:p>
        <w:p w14:paraId="08C5A657" w14:textId="397C2C02" w:rsidR="00442BF7" w:rsidRPr="00442BF7" w:rsidRDefault="00C51690" w:rsidP="00442BF7">
          <w:pPr>
            <w:pStyle w:val="TDC2"/>
            <w:rPr>
              <w:rFonts w:eastAsiaTheme="minorEastAsia"/>
              <w:lang w:eastAsia="es-MX"/>
            </w:rPr>
          </w:pPr>
          <w:hyperlink w:anchor="_Toc69905422" w:history="1">
            <w:r w:rsidR="00442BF7" w:rsidRPr="00442BF7">
              <w:rPr>
                <w:rStyle w:val="Hipervnculo"/>
              </w:rPr>
              <w:t>5. Bases de Preparación de los Estados Financieros:</w:t>
            </w:r>
            <w:r w:rsidR="00442BF7" w:rsidRPr="00442BF7">
              <w:rPr>
                <w:webHidden/>
              </w:rPr>
              <w:tab/>
            </w:r>
            <w:r w:rsidR="00442BF7" w:rsidRPr="00442BF7">
              <w:rPr>
                <w:webHidden/>
              </w:rPr>
              <w:fldChar w:fldCharType="begin"/>
            </w:r>
            <w:r w:rsidR="00442BF7" w:rsidRPr="00442BF7">
              <w:rPr>
                <w:webHidden/>
              </w:rPr>
              <w:instrText xml:space="preserve"> PAGEREF _Toc69905422 \h </w:instrText>
            </w:r>
            <w:r w:rsidR="00442BF7" w:rsidRPr="00442BF7">
              <w:rPr>
                <w:webHidden/>
              </w:rPr>
            </w:r>
            <w:r w:rsidR="00442BF7" w:rsidRPr="00442BF7">
              <w:rPr>
                <w:webHidden/>
              </w:rPr>
              <w:fldChar w:fldCharType="separate"/>
            </w:r>
            <w:r>
              <w:rPr>
                <w:webHidden/>
              </w:rPr>
              <w:t>3</w:t>
            </w:r>
            <w:r w:rsidR="00442BF7" w:rsidRPr="00442BF7">
              <w:rPr>
                <w:webHidden/>
              </w:rPr>
              <w:fldChar w:fldCharType="end"/>
            </w:r>
          </w:hyperlink>
        </w:p>
        <w:p w14:paraId="218B0683" w14:textId="0514EB86" w:rsidR="00442BF7" w:rsidRDefault="00C51690" w:rsidP="00442BF7">
          <w:pPr>
            <w:pStyle w:val="TDC2"/>
            <w:rPr>
              <w:rFonts w:asciiTheme="minorHAnsi" w:eastAsiaTheme="minorEastAsia" w:hAnsiTheme="minorHAnsi" w:cstheme="minorBidi"/>
              <w:lang w:eastAsia="es-MX"/>
            </w:rPr>
          </w:pPr>
          <w:hyperlink w:anchor="_Toc69905423" w:history="1">
            <w:r w:rsidR="00442BF7" w:rsidRPr="00667BAB">
              <w:rPr>
                <w:rStyle w:val="Hipervnculo"/>
              </w:rPr>
              <w:t>6. Políticas de Contabilidad Significativas:</w:t>
            </w:r>
            <w:r w:rsidR="00442BF7">
              <w:rPr>
                <w:webHidden/>
              </w:rPr>
              <w:tab/>
            </w:r>
            <w:r w:rsidR="00442BF7">
              <w:rPr>
                <w:webHidden/>
              </w:rPr>
              <w:fldChar w:fldCharType="begin"/>
            </w:r>
            <w:r w:rsidR="00442BF7">
              <w:rPr>
                <w:webHidden/>
              </w:rPr>
              <w:instrText xml:space="preserve"> PAGEREF _Toc69905423 \h </w:instrText>
            </w:r>
            <w:r w:rsidR="00442BF7">
              <w:rPr>
                <w:webHidden/>
              </w:rPr>
            </w:r>
            <w:r w:rsidR="00442BF7">
              <w:rPr>
                <w:webHidden/>
              </w:rPr>
              <w:fldChar w:fldCharType="separate"/>
            </w:r>
            <w:r>
              <w:rPr>
                <w:webHidden/>
              </w:rPr>
              <w:t>4</w:t>
            </w:r>
            <w:r w:rsidR="00442BF7">
              <w:rPr>
                <w:webHidden/>
              </w:rPr>
              <w:fldChar w:fldCharType="end"/>
            </w:r>
          </w:hyperlink>
        </w:p>
        <w:p w14:paraId="6D859E30" w14:textId="19406811" w:rsidR="00442BF7" w:rsidRDefault="00C51690" w:rsidP="00442BF7">
          <w:pPr>
            <w:pStyle w:val="TDC2"/>
            <w:rPr>
              <w:rFonts w:asciiTheme="minorHAnsi" w:eastAsiaTheme="minorEastAsia" w:hAnsiTheme="minorHAnsi" w:cstheme="minorBidi"/>
              <w:lang w:eastAsia="es-MX"/>
            </w:rPr>
          </w:pPr>
          <w:hyperlink w:anchor="_Toc69905424" w:history="1">
            <w:r w:rsidR="00442BF7" w:rsidRPr="00667BAB">
              <w:rPr>
                <w:rStyle w:val="Hipervnculo"/>
              </w:rPr>
              <w:t>7. Posición en Moneda Extranjera y Protección por Riesgo Cambiario:</w:t>
            </w:r>
            <w:r w:rsidR="00442BF7">
              <w:rPr>
                <w:webHidden/>
              </w:rPr>
              <w:tab/>
            </w:r>
            <w:r w:rsidR="00442BF7">
              <w:rPr>
                <w:webHidden/>
              </w:rPr>
              <w:fldChar w:fldCharType="begin"/>
            </w:r>
            <w:r w:rsidR="00442BF7">
              <w:rPr>
                <w:webHidden/>
              </w:rPr>
              <w:instrText xml:space="preserve"> PAGEREF _Toc69905424 \h </w:instrText>
            </w:r>
            <w:r w:rsidR="00442BF7">
              <w:rPr>
                <w:webHidden/>
              </w:rPr>
            </w:r>
            <w:r w:rsidR="00442BF7">
              <w:rPr>
                <w:webHidden/>
              </w:rPr>
              <w:fldChar w:fldCharType="separate"/>
            </w:r>
            <w:r>
              <w:rPr>
                <w:webHidden/>
              </w:rPr>
              <w:t>5</w:t>
            </w:r>
            <w:r w:rsidR="00442BF7">
              <w:rPr>
                <w:webHidden/>
              </w:rPr>
              <w:fldChar w:fldCharType="end"/>
            </w:r>
          </w:hyperlink>
        </w:p>
        <w:p w14:paraId="3A128608" w14:textId="2BE79D64" w:rsidR="00442BF7" w:rsidRDefault="00C51690" w:rsidP="00442BF7">
          <w:pPr>
            <w:pStyle w:val="TDC2"/>
            <w:rPr>
              <w:rFonts w:asciiTheme="minorHAnsi" w:eastAsiaTheme="minorEastAsia" w:hAnsiTheme="minorHAnsi" w:cstheme="minorBidi"/>
              <w:lang w:eastAsia="es-MX"/>
            </w:rPr>
          </w:pPr>
          <w:hyperlink w:anchor="_Toc69905425" w:history="1">
            <w:r w:rsidR="00442BF7" w:rsidRPr="00667BAB">
              <w:rPr>
                <w:rStyle w:val="Hipervnculo"/>
              </w:rPr>
              <w:t>8. Reporte Analítico del Activo:</w:t>
            </w:r>
            <w:r w:rsidR="00442BF7">
              <w:rPr>
                <w:webHidden/>
              </w:rPr>
              <w:tab/>
            </w:r>
            <w:r w:rsidR="00442BF7">
              <w:rPr>
                <w:webHidden/>
              </w:rPr>
              <w:fldChar w:fldCharType="begin"/>
            </w:r>
            <w:r w:rsidR="00442BF7">
              <w:rPr>
                <w:webHidden/>
              </w:rPr>
              <w:instrText xml:space="preserve"> PAGEREF _Toc69905425 \h </w:instrText>
            </w:r>
            <w:r w:rsidR="00442BF7">
              <w:rPr>
                <w:webHidden/>
              </w:rPr>
            </w:r>
            <w:r w:rsidR="00442BF7">
              <w:rPr>
                <w:webHidden/>
              </w:rPr>
              <w:fldChar w:fldCharType="separate"/>
            </w:r>
            <w:r>
              <w:rPr>
                <w:webHidden/>
              </w:rPr>
              <w:t>5</w:t>
            </w:r>
            <w:r w:rsidR="00442BF7">
              <w:rPr>
                <w:webHidden/>
              </w:rPr>
              <w:fldChar w:fldCharType="end"/>
            </w:r>
          </w:hyperlink>
        </w:p>
        <w:p w14:paraId="73ACBEA4" w14:textId="30FC4331" w:rsidR="00442BF7" w:rsidRDefault="00C51690" w:rsidP="00442BF7">
          <w:pPr>
            <w:pStyle w:val="TDC2"/>
            <w:rPr>
              <w:rFonts w:asciiTheme="minorHAnsi" w:eastAsiaTheme="minorEastAsia" w:hAnsiTheme="minorHAnsi" w:cstheme="minorBidi"/>
              <w:lang w:eastAsia="es-MX"/>
            </w:rPr>
          </w:pPr>
          <w:hyperlink w:anchor="_Toc69905426" w:history="1">
            <w:r w:rsidR="00442BF7" w:rsidRPr="00667BAB">
              <w:rPr>
                <w:rStyle w:val="Hipervnculo"/>
              </w:rPr>
              <w:t>9. Fideicomisos, Mandatos y Análogos:</w:t>
            </w:r>
            <w:r w:rsidR="00442BF7">
              <w:rPr>
                <w:webHidden/>
              </w:rPr>
              <w:tab/>
            </w:r>
            <w:r w:rsidR="00442BF7">
              <w:rPr>
                <w:webHidden/>
              </w:rPr>
              <w:fldChar w:fldCharType="begin"/>
            </w:r>
            <w:r w:rsidR="00442BF7">
              <w:rPr>
                <w:webHidden/>
              </w:rPr>
              <w:instrText xml:space="preserve"> PAGEREF _Toc69905426 \h </w:instrText>
            </w:r>
            <w:r w:rsidR="00442BF7">
              <w:rPr>
                <w:webHidden/>
              </w:rPr>
            </w:r>
            <w:r w:rsidR="00442BF7">
              <w:rPr>
                <w:webHidden/>
              </w:rPr>
              <w:fldChar w:fldCharType="separate"/>
            </w:r>
            <w:r>
              <w:rPr>
                <w:webHidden/>
              </w:rPr>
              <w:t>6</w:t>
            </w:r>
            <w:r w:rsidR="00442BF7">
              <w:rPr>
                <w:webHidden/>
              </w:rPr>
              <w:fldChar w:fldCharType="end"/>
            </w:r>
          </w:hyperlink>
        </w:p>
        <w:p w14:paraId="451A7C55" w14:textId="1DEA740D" w:rsidR="00442BF7" w:rsidRDefault="00C51690" w:rsidP="00442BF7">
          <w:pPr>
            <w:pStyle w:val="TDC2"/>
            <w:rPr>
              <w:rFonts w:asciiTheme="minorHAnsi" w:eastAsiaTheme="minorEastAsia" w:hAnsiTheme="minorHAnsi" w:cstheme="minorBidi"/>
              <w:lang w:eastAsia="es-MX"/>
            </w:rPr>
          </w:pPr>
          <w:hyperlink w:anchor="_Toc69905427" w:history="1">
            <w:r w:rsidR="00442BF7" w:rsidRPr="00667BAB">
              <w:rPr>
                <w:rStyle w:val="Hipervnculo"/>
              </w:rPr>
              <w:t>10. Reporte de la Recaudación:</w:t>
            </w:r>
            <w:r w:rsidR="00442BF7">
              <w:rPr>
                <w:webHidden/>
              </w:rPr>
              <w:tab/>
            </w:r>
            <w:r w:rsidR="00442BF7">
              <w:rPr>
                <w:webHidden/>
              </w:rPr>
              <w:fldChar w:fldCharType="begin"/>
            </w:r>
            <w:r w:rsidR="00442BF7">
              <w:rPr>
                <w:webHidden/>
              </w:rPr>
              <w:instrText xml:space="preserve"> PAGEREF _Toc69905427 \h </w:instrText>
            </w:r>
            <w:r w:rsidR="00442BF7">
              <w:rPr>
                <w:webHidden/>
              </w:rPr>
            </w:r>
            <w:r w:rsidR="00442BF7">
              <w:rPr>
                <w:webHidden/>
              </w:rPr>
              <w:fldChar w:fldCharType="separate"/>
            </w:r>
            <w:r>
              <w:rPr>
                <w:webHidden/>
              </w:rPr>
              <w:t>6</w:t>
            </w:r>
            <w:r w:rsidR="00442BF7">
              <w:rPr>
                <w:webHidden/>
              </w:rPr>
              <w:fldChar w:fldCharType="end"/>
            </w:r>
          </w:hyperlink>
        </w:p>
        <w:p w14:paraId="2420B24E" w14:textId="3E0009F9" w:rsidR="00442BF7" w:rsidRDefault="00C51690" w:rsidP="00442BF7">
          <w:pPr>
            <w:pStyle w:val="TDC2"/>
            <w:rPr>
              <w:rFonts w:asciiTheme="minorHAnsi" w:eastAsiaTheme="minorEastAsia" w:hAnsiTheme="minorHAnsi" w:cstheme="minorBidi"/>
              <w:lang w:eastAsia="es-MX"/>
            </w:rPr>
          </w:pPr>
          <w:hyperlink w:anchor="_Toc69905428" w:history="1">
            <w:r w:rsidR="00442BF7" w:rsidRPr="00667BAB">
              <w:rPr>
                <w:rStyle w:val="Hipervnculo"/>
              </w:rPr>
              <w:t>11. Información sobre la Deuda y el Reporte Analítico de la Deuda:</w:t>
            </w:r>
            <w:r w:rsidR="00442BF7">
              <w:rPr>
                <w:webHidden/>
              </w:rPr>
              <w:tab/>
            </w:r>
            <w:r w:rsidR="00442BF7">
              <w:rPr>
                <w:webHidden/>
              </w:rPr>
              <w:fldChar w:fldCharType="begin"/>
            </w:r>
            <w:r w:rsidR="00442BF7">
              <w:rPr>
                <w:webHidden/>
              </w:rPr>
              <w:instrText xml:space="preserve"> PAGEREF _Toc69905428 \h </w:instrText>
            </w:r>
            <w:r w:rsidR="00442BF7">
              <w:rPr>
                <w:webHidden/>
              </w:rPr>
            </w:r>
            <w:r w:rsidR="00442BF7">
              <w:rPr>
                <w:webHidden/>
              </w:rPr>
              <w:fldChar w:fldCharType="separate"/>
            </w:r>
            <w:r>
              <w:rPr>
                <w:webHidden/>
              </w:rPr>
              <w:t>6</w:t>
            </w:r>
            <w:r w:rsidR="00442BF7">
              <w:rPr>
                <w:webHidden/>
              </w:rPr>
              <w:fldChar w:fldCharType="end"/>
            </w:r>
          </w:hyperlink>
        </w:p>
        <w:p w14:paraId="1565239E" w14:textId="5B367CE6" w:rsidR="00442BF7" w:rsidRDefault="00C51690" w:rsidP="00442BF7">
          <w:pPr>
            <w:pStyle w:val="TDC2"/>
            <w:rPr>
              <w:rFonts w:asciiTheme="minorHAnsi" w:eastAsiaTheme="minorEastAsia" w:hAnsiTheme="minorHAnsi" w:cstheme="minorBidi"/>
              <w:lang w:eastAsia="es-MX"/>
            </w:rPr>
          </w:pPr>
          <w:hyperlink w:anchor="_Toc69905429" w:history="1">
            <w:r w:rsidR="00442BF7" w:rsidRPr="00667BAB">
              <w:rPr>
                <w:rStyle w:val="Hipervnculo"/>
              </w:rPr>
              <w:t>12. Calificaciones otorgadas:</w:t>
            </w:r>
            <w:r w:rsidR="00442BF7">
              <w:rPr>
                <w:webHidden/>
              </w:rPr>
              <w:tab/>
            </w:r>
            <w:r w:rsidR="00442BF7">
              <w:rPr>
                <w:webHidden/>
              </w:rPr>
              <w:fldChar w:fldCharType="begin"/>
            </w:r>
            <w:r w:rsidR="00442BF7">
              <w:rPr>
                <w:webHidden/>
              </w:rPr>
              <w:instrText xml:space="preserve"> PAGEREF _Toc69905429 \h </w:instrText>
            </w:r>
            <w:r w:rsidR="00442BF7">
              <w:rPr>
                <w:webHidden/>
              </w:rPr>
            </w:r>
            <w:r w:rsidR="00442BF7">
              <w:rPr>
                <w:webHidden/>
              </w:rPr>
              <w:fldChar w:fldCharType="separate"/>
            </w:r>
            <w:r>
              <w:rPr>
                <w:webHidden/>
              </w:rPr>
              <w:t>6</w:t>
            </w:r>
            <w:r w:rsidR="00442BF7">
              <w:rPr>
                <w:webHidden/>
              </w:rPr>
              <w:fldChar w:fldCharType="end"/>
            </w:r>
          </w:hyperlink>
        </w:p>
        <w:p w14:paraId="64143099" w14:textId="5FB959ED" w:rsidR="00442BF7" w:rsidRDefault="00C51690" w:rsidP="00442BF7">
          <w:pPr>
            <w:pStyle w:val="TDC2"/>
            <w:rPr>
              <w:rFonts w:asciiTheme="minorHAnsi" w:eastAsiaTheme="minorEastAsia" w:hAnsiTheme="minorHAnsi" w:cstheme="minorBidi"/>
              <w:lang w:eastAsia="es-MX"/>
            </w:rPr>
          </w:pPr>
          <w:hyperlink w:anchor="_Toc69905430" w:history="1">
            <w:r w:rsidR="00442BF7" w:rsidRPr="00667BAB">
              <w:rPr>
                <w:rStyle w:val="Hipervnculo"/>
              </w:rPr>
              <w:t>13. Proceso de Mejora:</w:t>
            </w:r>
            <w:r w:rsidR="00442BF7">
              <w:rPr>
                <w:webHidden/>
              </w:rPr>
              <w:tab/>
            </w:r>
            <w:r w:rsidR="00442BF7">
              <w:rPr>
                <w:webHidden/>
              </w:rPr>
              <w:fldChar w:fldCharType="begin"/>
            </w:r>
            <w:r w:rsidR="00442BF7">
              <w:rPr>
                <w:webHidden/>
              </w:rPr>
              <w:instrText xml:space="preserve"> PAGEREF _Toc69905430 \h </w:instrText>
            </w:r>
            <w:r w:rsidR="00442BF7">
              <w:rPr>
                <w:webHidden/>
              </w:rPr>
            </w:r>
            <w:r w:rsidR="00442BF7">
              <w:rPr>
                <w:webHidden/>
              </w:rPr>
              <w:fldChar w:fldCharType="separate"/>
            </w:r>
            <w:r>
              <w:rPr>
                <w:webHidden/>
              </w:rPr>
              <w:t>6</w:t>
            </w:r>
            <w:r w:rsidR="00442BF7">
              <w:rPr>
                <w:webHidden/>
              </w:rPr>
              <w:fldChar w:fldCharType="end"/>
            </w:r>
          </w:hyperlink>
        </w:p>
        <w:p w14:paraId="7599535E" w14:textId="12FCCE22" w:rsidR="00442BF7" w:rsidRDefault="00C51690" w:rsidP="00442BF7">
          <w:pPr>
            <w:pStyle w:val="TDC2"/>
            <w:rPr>
              <w:rFonts w:asciiTheme="minorHAnsi" w:eastAsiaTheme="minorEastAsia" w:hAnsiTheme="minorHAnsi" w:cstheme="minorBidi"/>
              <w:lang w:eastAsia="es-MX"/>
            </w:rPr>
          </w:pPr>
          <w:hyperlink w:anchor="_Toc69905431" w:history="1">
            <w:r w:rsidR="00442BF7" w:rsidRPr="00667BAB">
              <w:rPr>
                <w:rStyle w:val="Hipervnculo"/>
              </w:rPr>
              <w:t>14. Información por Segmentos:</w:t>
            </w:r>
            <w:r w:rsidR="00442BF7">
              <w:rPr>
                <w:webHidden/>
              </w:rPr>
              <w:tab/>
            </w:r>
            <w:r w:rsidR="00442BF7">
              <w:rPr>
                <w:webHidden/>
              </w:rPr>
              <w:fldChar w:fldCharType="begin"/>
            </w:r>
            <w:r w:rsidR="00442BF7">
              <w:rPr>
                <w:webHidden/>
              </w:rPr>
              <w:instrText xml:space="preserve"> PAGEREF _Toc69905431 \h </w:instrText>
            </w:r>
            <w:r w:rsidR="00442BF7">
              <w:rPr>
                <w:webHidden/>
              </w:rPr>
            </w:r>
            <w:r w:rsidR="00442BF7">
              <w:rPr>
                <w:webHidden/>
              </w:rPr>
              <w:fldChar w:fldCharType="separate"/>
            </w:r>
            <w:r>
              <w:rPr>
                <w:webHidden/>
              </w:rPr>
              <w:t>7</w:t>
            </w:r>
            <w:r w:rsidR="00442BF7">
              <w:rPr>
                <w:webHidden/>
              </w:rPr>
              <w:fldChar w:fldCharType="end"/>
            </w:r>
          </w:hyperlink>
        </w:p>
        <w:p w14:paraId="16202BAC" w14:textId="561C33DF" w:rsidR="00442BF7" w:rsidRDefault="00C51690" w:rsidP="00442BF7">
          <w:pPr>
            <w:pStyle w:val="TDC2"/>
            <w:rPr>
              <w:rFonts w:asciiTheme="minorHAnsi" w:eastAsiaTheme="minorEastAsia" w:hAnsiTheme="minorHAnsi" w:cstheme="minorBidi"/>
              <w:lang w:eastAsia="es-MX"/>
            </w:rPr>
          </w:pPr>
          <w:hyperlink w:anchor="_Toc69905432" w:history="1">
            <w:r w:rsidR="00442BF7" w:rsidRPr="00667BAB">
              <w:rPr>
                <w:rStyle w:val="Hipervnculo"/>
              </w:rPr>
              <w:t>15. Eventos Posteriores al Cierre:</w:t>
            </w:r>
            <w:r w:rsidR="00442BF7">
              <w:rPr>
                <w:webHidden/>
              </w:rPr>
              <w:tab/>
            </w:r>
            <w:r w:rsidR="00442BF7">
              <w:rPr>
                <w:webHidden/>
              </w:rPr>
              <w:fldChar w:fldCharType="begin"/>
            </w:r>
            <w:r w:rsidR="00442BF7">
              <w:rPr>
                <w:webHidden/>
              </w:rPr>
              <w:instrText xml:space="preserve"> PAGEREF _Toc69905432 \h </w:instrText>
            </w:r>
            <w:r w:rsidR="00442BF7">
              <w:rPr>
                <w:webHidden/>
              </w:rPr>
            </w:r>
            <w:r w:rsidR="00442BF7">
              <w:rPr>
                <w:webHidden/>
              </w:rPr>
              <w:fldChar w:fldCharType="separate"/>
            </w:r>
            <w:r>
              <w:rPr>
                <w:webHidden/>
              </w:rPr>
              <w:t>7</w:t>
            </w:r>
            <w:r w:rsidR="00442BF7">
              <w:rPr>
                <w:webHidden/>
              </w:rPr>
              <w:fldChar w:fldCharType="end"/>
            </w:r>
          </w:hyperlink>
        </w:p>
        <w:p w14:paraId="6B3815F6" w14:textId="571B169F" w:rsidR="00442BF7" w:rsidRDefault="00C51690" w:rsidP="00442BF7">
          <w:pPr>
            <w:pStyle w:val="TDC2"/>
            <w:rPr>
              <w:rFonts w:asciiTheme="minorHAnsi" w:eastAsiaTheme="minorEastAsia" w:hAnsiTheme="minorHAnsi" w:cstheme="minorBidi"/>
              <w:lang w:eastAsia="es-MX"/>
            </w:rPr>
          </w:pPr>
          <w:hyperlink w:anchor="_Toc69905433" w:history="1">
            <w:r w:rsidR="00442BF7" w:rsidRPr="00667BAB">
              <w:rPr>
                <w:rStyle w:val="Hipervnculo"/>
              </w:rPr>
              <w:t>16. Partes Relacionadas:</w:t>
            </w:r>
            <w:r w:rsidR="00442BF7">
              <w:rPr>
                <w:webHidden/>
              </w:rPr>
              <w:tab/>
            </w:r>
            <w:r w:rsidR="00442BF7">
              <w:rPr>
                <w:webHidden/>
              </w:rPr>
              <w:fldChar w:fldCharType="begin"/>
            </w:r>
            <w:r w:rsidR="00442BF7">
              <w:rPr>
                <w:webHidden/>
              </w:rPr>
              <w:instrText xml:space="preserve"> PAGEREF _Toc69905433 \h </w:instrText>
            </w:r>
            <w:r w:rsidR="00442BF7">
              <w:rPr>
                <w:webHidden/>
              </w:rPr>
            </w:r>
            <w:r w:rsidR="00442BF7">
              <w:rPr>
                <w:webHidden/>
              </w:rPr>
              <w:fldChar w:fldCharType="separate"/>
            </w:r>
            <w:r>
              <w:rPr>
                <w:webHidden/>
              </w:rPr>
              <w:t>7</w:t>
            </w:r>
            <w:r w:rsidR="00442BF7">
              <w:rPr>
                <w:webHidden/>
              </w:rPr>
              <w:fldChar w:fldCharType="end"/>
            </w:r>
          </w:hyperlink>
        </w:p>
        <w:p w14:paraId="61AF6C36" w14:textId="36F1C141" w:rsidR="00442BF7" w:rsidRDefault="00C51690" w:rsidP="00442BF7">
          <w:pPr>
            <w:pStyle w:val="TDC2"/>
            <w:rPr>
              <w:rFonts w:asciiTheme="minorHAnsi" w:eastAsiaTheme="minorEastAsia" w:hAnsiTheme="minorHAnsi" w:cstheme="minorBidi"/>
              <w:lang w:eastAsia="es-MX"/>
            </w:rPr>
          </w:pPr>
          <w:hyperlink w:anchor="_Toc69905434" w:history="1">
            <w:r w:rsidR="00442BF7" w:rsidRPr="00667BAB">
              <w:rPr>
                <w:rStyle w:val="Hipervnculo"/>
              </w:rPr>
              <w:t>17. Responsabilidad Sobre la Presentación Razonable de la Información Contable:</w:t>
            </w:r>
            <w:r w:rsidR="00442BF7">
              <w:rPr>
                <w:webHidden/>
              </w:rPr>
              <w:tab/>
            </w:r>
            <w:r w:rsidR="00442BF7">
              <w:rPr>
                <w:webHidden/>
              </w:rPr>
              <w:fldChar w:fldCharType="begin"/>
            </w:r>
            <w:r w:rsidR="00442BF7">
              <w:rPr>
                <w:webHidden/>
              </w:rPr>
              <w:instrText xml:space="preserve"> PAGEREF _Toc69905434 \h </w:instrText>
            </w:r>
            <w:r w:rsidR="00442BF7">
              <w:rPr>
                <w:webHidden/>
              </w:rPr>
            </w:r>
            <w:r w:rsidR="00442BF7">
              <w:rPr>
                <w:webHidden/>
              </w:rPr>
              <w:fldChar w:fldCharType="separate"/>
            </w:r>
            <w:r>
              <w:rPr>
                <w:webHidden/>
              </w:rPr>
              <w:t>7</w:t>
            </w:r>
            <w:r w:rsidR="00442BF7">
              <w:rPr>
                <w:webHidden/>
              </w:rPr>
              <w:fldChar w:fldCharType="end"/>
            </w:r>
          </w:hyperlink>
        </w:p>
        <w:p w14:paraId="43551857" w14:textId="4F4ABC4B" w:rsidR="00F46719" w:rsidRDefault="00F46719">
          <w:r>
            <w:rPr>
              <w:b/>
              <w:bCs/>
              <w:lang w:val="es-ES"/>
            </w:rPr>
            <w:fldChar w:fldCharType="end"/>
          </w:r>
        </w:p>
      </w:sdtContent>
    </w:sdt>
    <w:p w14:paraId="7203E26E" w14:textId="34819867" w:rsidR="00442BF7" w:rsidRDefault="00442BF7">
      <w:pPr>
        <w:spacing w:after="0" w:line="240" w:lineRule="auto"/>
        <w:rPr>
          <w:rFonts w:cs="Calibri"/>
        </w:rPr>
      </w:pPr>
      <w:r>
        <w:rPr>
          <w:rFonts w:cs="Calibri"/>
        </w:rPr>
        <w:br w:type="page"/>
      </w:r>
    </w:p>
    <w:p w14:paraId="6AC06708" w14:textId="723D7FE9" w:rsidR="007D1E76" w:rsidRDefault="007D1E76" w:rsidP="00CB41C4">
      <w:pPr>
        <w:tabs>
          <w:tab w:val="left" w:leader="underscore" w:pos="9639"/>
        </w:tabs>
        <w:spacing w:after="0" w:line="240" w:lineRule="auto"/>
        <w:jc w:val="both"/>
        <w:rPr>
          <w:rFonts w:cs="Calibri"/>
        </w:rPr>
      </w:pPr>
    </w:p>
    <w:p w14:paraId="3C60FDF6" w14:textId="77777777" w:rsidR="00442BF7" w:rsidRPr="00E74967" w:rsidRDefault="00442BF7" w:rsidP="00CB41C4">
      <w:pPr>
        <w:tabs>
          <w:tab w:val="left" w:leader="underscore" w:pos="9639"/>
        </w:tabs>
        <w:spacing w:after="0" w:line="240" w:lineRule="auto"/>
        <w:jc w:val="both"/>
        <w:rPr>
          <w:rFonts w:cs="Calibri"/>
        </w:rPr>
      </w:pPr>
    </w:p>
    <w:p w14:paraId="76DDA459" w14:textId="77777777" w:rsidR="00C74DF8" w:rsidRPr="00890082" w:rsidRDefault="00C74DF8" w:rsidP="00C74DF8">
      <w:pPr>
        <w:pStyle w:val="Ttulo2"/>
        <w:spacing w:line="240" w:lineRule="auto"/>
        <w:rPr>
          <w:rFonts w:ascii="Arial" w:hAnsi="Arial" w:cs="Arial"/>
          <w:b/>
          <w:color w:val="auto"/>
          <w:sz w:val="20"/>
          <w:szCs w:val="20"/>
        </w:rPr>
      </w:pPr>
      <w:bookmarkStart w:id="0" w:name="_Toc526939477"/>
      <w:bookmarkStart w:id="1" w:name="_Toc526939555"/>
      <w:bookmarkStart w:id="2" w:name="_Toc69905418"/>
      <w:r w:rsidRPr="00890082">
        <w:rPr>
          <w:rFonts w:ascii="Arial" w:hAnsi="Arial" w:cs="Arial"/>
          <w:b/>
          <w:color w:val="auto"/>
          <w:sz w:val="20"/>
          <w:szCs w:val="20"/>
        </w:rPr>
        <w:t>1. Introducción:</w:t>
      </w:r>
      <w:bookmarkEnd w:id="0"/>
      <w:bookmarkEnd w:id="1"/>
      <w:bookmarkEnd w:id="2"/>
    </w:p>
    <w:p w14:paraId="2FF6D0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Programas Educativos de Alfabetización y Educación Básica para Adultos dirigidos a las personas mayores de 15 años</w:t>
      </w:r>
    </w:p>
    <w:p w14:paraId="2AADC8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9924" w14:textId="77777777" w:rsidR="00C74DF8" w:rsidRPr="00890082" w:rsidRDefault="00C74DF8" w:rsidP="00C74DF8">
      <w:pPr>
        <w:pStyle w:val="Ttulo2"/>
        <w:spacing w:line="240" w:lineRule="auto"/>
        <w:rPr>
          <w:rFonts w:ascii="Arial" w:hAnsi="Arial" w:cs="Arial"/>
          <w:b/>
          <w:color w:val="auto"/>
          <w:sz w:val="20"/>
          <w:szCs w:val="20"/>
        </w:rPr>
      </w:pPr>
      <w:bookmarkStart w:id="3" w:name="_Toc526939478"/>
      <w:bookmarkStart w:id="4" w:name="_Toc526939556"/>
      <w:bookmarkStart w:id="5" w:name="_Toc69905419"/>
      <w:r w:rsidRPr="00890082">
        <w:rPr>
          <w:rFonts w:ascii="Arial" w:hAnsi="Arial" w:cs="Arial"/>
          <w:b/>
          <w:color w:val="auto"/>
          <w:sz w:val="20"/>
          <w:szCs w:val="20"/>
        </w:rPr>
        <w:t>2. Describir el panorama Económico y Financiero:</w:t>
      </w:r>
      <w:bookmarkEnd w:id="3"/>
      <w:bookmarkEnd w:id="4"/>
      <w:bookmarkEnd w:id="5"/>
    </w:p>
    <w:p w14:paraId="6147DC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Cumplimiento de las metas inicialmente planeadas, mediante el presupuesto asignado</w:t>
      </w:r>
    </w:p>
    <w:p w14:paraId="1CD0221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7B81B93" w14:textId="77777777" w:rsidR="00C74DF8" w:rsidRPr="00890082" w:rsidRDefault="00C74DF8" w:rsidP="00C74DF8">
      <w:pPr>
        <w:pStyle w:val="Ttulo2"/>
        <w:spacing w:line="240" w:lineRule="auto"/>
        <w:rPr>
          <w:rFonts w:ascii="Arial" w:hAnsi="Arial" w:cs="Arial"/>
          <w:b/>
          <w:color w:val="auto"/>
          <w:sz w:val="20"/>
          <w:szCs w:val="20"/>
        </w:rPr>
      </w:pPr>
      <w:bookmarkStart w:id="6" w:name="_Toc526939479"/>
      <w:bookmarkStart w:id="7" w:name="_Toc526939557"/>
      <w:bookmarkStart w:id="8" w:name="_Toc69905420"/>
      <w:r w:rsidRPr="00890082">
        <w:rPr>
          <w:rFonts w:ascii="Arial" w:hAnsi="Arial" w:cs="Arial"/>
          <w:b/>
          <w:color w:val="auto"/>
          <w:sz w:val="20"/>
          <w:szCs w:val="20"/>
        </w:rPr>
        <w:t>3. Autorización e Historia:</w:t>
      </w:r>
      <w:bookmarkEnd w:id="6"/>
      <w:bookmarkEnd w:id="7"/>
      <w:bookmarkEnd w:id="8"/>
    </w:p>
    <w:p w14:paraId="6D06CD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38F6BA68"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6C59F3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Fecha de creación del ente.</w:t>
      </w:r>
    </w:p>
    <w:p w14:paraId="51E09AB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27 de noviembre del 2012. Decreto Gubernativo Número 4.</w:t>
      </w:r>
    </w:p>
    <w:p w14:paraId="309D726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3B555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Principales cambios en su estructura (interna históricamente).</w:t>
      </w:r>
    </w:p>
    <w:p w14:paraId="364544E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Descentralización de Recursos Financieros, Humanos y Materiales por parte de la Federación al Instituto.</w:t>
      </w:r>
    </w:p>
    <w:p w14:paraId="1A71B73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8DF27A" w14:textId="77777777" w:rsidR="00C74DF8" w:rsidRPr="00890082" w:rsidRDefault="00C74DF8" w:rsidP="00C74DF8">
      <w:pPr>
        <w:pStyle w:val="Ttulo2"/>
        <w:spacing w:line="240" w:lineRule="auto"/>
        <w:rPr>
          <w:rFonts w:ascii="Arial" w:hAnsi="Arial" w:cs="Arial"/>
          <w:b/>
          <w:color w:val="auto"/>
          <w:sz w:val="20"/>
          <w:szCs w:val="20"/>
        </w:rPr>
      </w:pPr>
      <w:bookmarkStart w:id="9" w:name="_Toc526939480"/>
      <w:bookmarkStart w:id="10" w:name="_Toc526939558"/>
      <w:bookmarkStart w:id="11" w:name="_Toc69905421"/>
      <w:r w:rsidRPr="00890082">
        <w:rPr>
          <w:rFonts w:ascii="Arial" w:hAnsi="Arial" w:cs="Arial"/>
          <w:b/>
          <w:color w:val="auto"/>
          <w:sz w:val="20"/>
          <w:szCs w:val="20"/>
        </w:rPr>
        <w:t>4. Organización y Objeto Social:</w:t>
      </w:r>
      <w:bookmarkEnd w:id="9"/>
      <w:bookmarkEnd w:id="10"/>
      <w:bookmarkEnd w:id="11"/>
    </w:p>
    <w:p w14:paraId="3B9BE8B8" w14:textId="77777777" w:rsidR="00C74DF8" w:rsidRDefault="00C74DF8" w:rsidP="00C74DF8">
      <w:pPr>
        <w:tabs>
          <w:tab w:val="left" w:leader="underscore" w:pos="9639"/>
        </w:tabs>
        <w:spacing w:after="0" w:line="240" w:lineRule="auto"/>
        <w:jc w:val="both"/>
        <w:rPr>
          <w:rFonts w:ascii="Arial" w:hAnsi="Arial" w:cs="Arial"/>
          <w:sz w:val="20"/>
          <w:szCs w:val="20"/>
        </w:rPr>
      </w:pPr>
    </w:p>
    <w:p w14:paraId="673BAF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77D1B7C7"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38450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Objeto social.</w:t>
      </w:r>
    </w:p>
    <w:p w14:paraId="4610CDB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Tiene por objeto planear, coordinar, promover y operar sistemas, modalidades y programas educativos de alfabetización y educación básica dirigidos a las personas mayores de 15 años que están fuera del sistema educativo formal, buscando con ello abatir el rezago educativo y propiciar el aumento en el índice de alfabetización.</w:t>
      </w:r>
    </w:p>
    <w:p w14:paraId="0DB094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2DE9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Principal actividad.</w:t>
      </w:r>
    </w:p>
    <w:p w14:paraId="5E53A35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Atender a las personas mayores de 15 años que están fuera del sistema educativo no formal, en la modalidad de alfabetización y educación básica, en sus niveles de primaria y secundaria.</w:t>
      </w:r>
    </w:p>
    <w:p w14:paraId="49AE433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D5512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Ejercicio fiscal.</w:t>
      </w:r>
    </w:p>
    <w:p w14:paraId="03BC7EE8" w14:textId="6646F882"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Enero a diciembre 20</w:t>
      </w:r>
      <w:r>
        <w:rPr>
          <w:rFonts w:ascii="Arial" w:hAnsi="Arial" w:cs="Arial"/>
          <w:sz w:val="20"/>
          <w:szCs w:val="20"/>
        </w:rPr>
        <w:t>2</w:t>
      </w:r>
      <w:r w:rsidR="00AE5118">
        <w:rPr>
          <w:rFonts w:ascii="Arial" w:hAnsi="Arial" w:cs="Arial"/>
          <w:sz w:val="20"/>
          <w:szCs w:val="20"/>
        </w:rPr>
        <w:t>2</w:t>
      </w:r>
      <w:r w:rsidRPr="00890082">
        <w:rPr>
          <w:rFonts w:ascii="Arial" w:hAnsi="Arial" w:cs="Arial"/>
          <w:sz w:val="20"/>
          <w:szCs w:val="20"/>
        </w:rPr>
        <w:t>.</w:t>
      </w:r>
    </w:p>
    <w:p w14:paraId="715D3E2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256C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Régimen jurídico.</w:t>
      </w:r>
    </w:p>
    <w:p w14:paraId="33C055B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Persona Moral sin fines de lucro.</w:t>
      </w:r>
    </w:p>
    <w:p w14:paraId="74A5714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9F766D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Consideraciones fiscales del ente.</w:t>
      </w:r>
    </w:p>
    <w:p w14:paraId="7330386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Retenedor de Salario y demás prestaciones que deriven de una relación laboral, Retenedor de Ingresos asimilados a salarios, Retenedor de Prestación de servicios profesionales, Retenedor de Arrendamiento y en general de uso o goce temporal de inmuebles.</w:t>
      </w:r>
    </w:p>
    <w:p w14:paraId="1BF12835" w14:textId="77777777" w:rsidR="00C74DF8" w:rsidRPr="00890082" w:rsidRDefault="00C74DF8" w:rsidP="00C74DF8">
      <w:pPr>
        <w:tabs>
          <w:tab w:val="left" w:leader="underscore" w:pos="9639"/>
        </w:tabs>
        <w:spacing w:after="0" w:line="240" w:lineRule="auto"/>
        <w:jc w:val="both"/>
        <w:rPr>
          <w:rFonts w:ascii="Arial" w:hAnsi="Arial" w:cs="Arial"/>
          <w:b/>
          <w:sz w:val="20"/>
          <w:szCs w:val="20"/>
        </w:rPr>
      </w:pPr>
    </w:p>
    <w:p w14:paraId="11CF0FB1" w14:textId="77777777" w:rsidR="00C74DF8" w:rsidRDefault="00C74DF8" w:rsidP="00C74DF8">
      <w:pPr>
        <w:spacing w:after="0" w:line="240" w:lineRule="auto"/>
        <w:rPr>
          <w:rFonts w:ascii="Arial" w:hAnsi="Arial" w:cs="Arial"/>
          <w:b/>
          <w:sz w:val="20"/>
          <w:szCs w:val="20"/>
        </w:rPr>
      </w:pPr>
    </w:p>
    <w:p w14:paraId="55919F72" w14:textId="77777777" w:rsidR="00C74DF8" w:rsidRDefault="00C74DF8" w:rsidP="00C74DF8">
      <w:pPr>
        <w:spacing w:after="0" w:line="240" w:lineRule="auto"/>
        <w:rPr>
          <w:rFonts w:ascii="Arial" w:hAnsi="Arial" w:cs="Arial"/>
          <w:b/>
          <w:sz w:val="20"/>
          <w:szCs w:val="20"/>
        </w:rPr>
      </w:pPr>
    </w:p>
    <w:p w14:paraId="0DA029BC" w14:textId="4F99AD13" w:rsidR="00C74DF8" w:rsidRDefault="00C74DF8" w:rsidP="00C74DF8">
      <w:pPr>
        <w:spacing w:after="0" w:line="240" w:lineRule="auto"/>
        <w:rPr>
          <w:rFonts w:ascii="Arial" w:hAnsi="Arial" w:cs="Arial"/>
          <w:b/>
          <w:sz w:val="20"/>
          <w:szCs w:val="20"/>
        </w:rPr>
      </w:pPr>
      <w:r>
        <w:rPr>
          <w:rFonts w:ascii="Arial" w:hAnsi="Arial" w:cs="Arial"/>
          <w:b/>
          <w:sz w:val="20"/>
          <w:szCs w:val="20"/>
        </w:rPr>
        <w:br w:type="page"/>
      </w:r>
    </w:p>
    <w:p w14:paraId="3C5F544C"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546DD8C7" w14:textId="4E9EC7AF"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Estructura organizacional básica.</w:t>
      </w:r>
    </w:p>
    <w:p w14:paraId="15222F13" w14:textId="4A5FDBC0" w:rsidR="00C74DF8" w:rsidRDefault="00AE5118" w:rsidP="00C74DF8">
      <w:pPr>
        <w:tabs>
          <w:tab w:val="left" w:leader="underscore" w:pos="9639"/>
        </w:tabs>
        <w:spacing w:after="0" w:line="240" w:lineRule="auto"/>
        <w:jc w:val="both"/>
        <w:rPr>
          <w:noProof/>
        </w:rPr>
      </w:pPr>
      <w:r>
        <w:rPr>
          <w:noProof/>
          <w:lang w:eastAsia="es-MX"/>
        </w:rPr>
        <w:drawing>
          <wp:anchor distT="0" distB="0" distL="114300" distR="114300" simplePos="0" relativeHeight="251658240" behindDoc="0" locked="0" layoutInCell="1" allowOverlap="1" wp14:anchorId="67615B4C" wp14:editId="2654BD21">
            <wp:simplePos x="0" y="0"/>
            <wp:positionH relativeFrom="page">
              <wp:posOffset>95250</wp:posOffset>
            </wp:positionH>
            <wp:positionV relativeFrom="paragraph">
              <wp:posOffset>174625</wp:posOffset>
            </wp:positionV>
            <wp:extent cx="7581900" cy="3976370"/>
            <wp:effectExtent l="0" t="0" r="0" b="5080"/>
            <wp:wrapSquare wrapText="bothSides"/>
            <wp:docPr id="4" name="Imagen 3">
              <a:extLst xmlns:a="http://schemas.openxmlformats.org/drawingml/2006/main">
                <a:ext uri="{FF2B5EF4-FFF2-40B4-BE49-F238E27FC236}">
                  <a16:creationId xmlns:a16="http://schemas.microsoft.com/office/drawing/2014/main" id="{00000000-0008-0000-0F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F00-000004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81900" cy="3976370"/>
                    </a:xfrm>
                    <a:prstGeom prst="rect">
                      <a:avLst/>
                    </a:prstGeom>
                  </pic:spPr>
                </pic:pic>
              </a:graphicData>
            </a:graphic>
            <wp14:sizeRelH relativeFrom="page">
              <wp14:pctWidth>0</wp14:pctWidth>
            </wp14:sizeRelH>
            <wp14:sizeRelV relativeFrom="page">
              <wp14:pctHeight>0</wp14:pctHeight>
            </wp14:sizeRelV>
          </wp:anchor>
        </w:drawing>
      </w:r>
    </w:p>
    <w:p w14:paraId="2029272D" w14:textId="149CBD78" w:rsidR="00AE5118" w:rsidRDefault="00AE5118" w:rsidP="00C74DF8">
      <w:pPr>
        <w:tabs>
          <w:tab w:val="left" w:leader="underscore" w:pos="9639"/>
        </w:tabs>
        <w:spacing w:after="0" w:line="240" w:lineRule="auto"/>
        <w:jc w:val="both"/>
        <w:rPr>
          <w:rFonts w:ascii="Arial" w:hAnsi="Arial" w:cs="Arial"/>
          <w:sz w:val="20"/>
          <w:szCs w:val="20"/>
        </w:rPr>
      </w:pPr>
    </w:p>
    <w:p w14:paraId="731EBAF9" w14:textId="3BAF26C7" w:rsidR="00AE5118" w:rsidRDefault="00AE5118" w:rsidP="00C74DF8">
      <w:pPr>
        <w:tabs>
          <w:tab w:val="left" w:leader="underscore" w:pos="9639"/>
        </w:tabs>
        <w:spacing w:after="0" w:line="240" w:lineRule="auto"/>
        <w:jc w:val="both"/>
        <w:rPr>
          <w:rFonts w:ascii="Arial" w:hAnsi="Arial" w:cs="Arial"/>
          <w:sz w:val="20"/>
          <w:szCs w:val="20"/>
        </w:rPr>
      </w:pPr>
    </w:p>
    <w:p w14:paraId="4B5ACF2D" w14:textId="7BDF8E37" w:rsidR="00AE5118" w:rsidRDefault="00AE5118" w:rsidP="00C74DF8">
      <w:pPr>
        <w:tabs>
          <w:tab w:val="left" w:leader="underscore" w:pos="9639"/>
        </w:tabs>
        <w:spacing w:after="0" w:line="240" w:lineRule="auto"/>
        <w:jc w:val="both"/>
        <w:rPr>
          <w:rFonts w:ascii="Arial" w:hAnsi="Arial" w:cs="Arial"/>
          <w:sz w:val="20"/>
          <w:szCs w:val="20"/>
        </w:rPr>
      </w:pPr>
    </w:p>
    <w:p w14:paraId="25D6699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Fideicomisos, mandatos y análogos de los cuales es fideicomitente o fideicomisario.</w:t>
      </w:r>
    </w:p>
    <w:p w14:paraId="2D9E3DD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B850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BEE88D1" w14:textId="77777777" w:rsidR="00C74DF8" w:rsidRPr="00890082" w:rsidRDefault="00C74DF8" w:rsidP="00C74DF8">
      <w:pPr>
        <w:pStyle w:val="Ttulo2"/>
        <w:spacing w:line="240" w:lineRule="auto"/>
        <w:rPr>
          <w:rFonts w:ascii="Arial" w:hAnsi="Arial" w:cs="Arial"/>
          <w:b/>
          <w:color w:val="auto"/>
          <w:sz w:val="20"/>
          <w:szCs w:val="20"/>
        </w:rPr>
      </w:pPr>
      <w:bookmarkStart w:id="12" w:name="_Toc526939481"/>
      <w:bookmarkStart w:id="13" w:name="_Toc526939559"/>
      <w:bookmarkStart w:id="14" w:name="_Toc69905422"/>
      <w:r w:rsidRPr="00890082">
        <w:rPr>
          <w:rFonts w:ascii="Arial" w:hAnsi="Arial" w:cs="Arial"/>
          <w:b/>
          <w:color w:val="auto"/>
          <w:sz w:val="20"/>
          <w:szCs w:val="20"/>
        </w:rPr>
        <w:t>5. Bases de Preparación de los Estados Financieros:</w:t>
      </w:r>
      <w:bookmarkEnd w:id="12"/>
      <w:bookmarkEnd w:id="13"/>
      <w:bookmarkEnd w:id="14"/>
    </w:p>
    <w:p w14:paraId="0903C61F" w14:textId="77777777" w:rsidR="00C74DF8" w:rsidRDefault="00C74DF8" w:rsidP="00C74DF8">
      <w:pPr>
        <w:tabs>
          <w:tab w:val="left" w:leader="underscore" w:pos="9639"/>
        </w:tabs>
        <w:spacing w:after="0" w:line="240" w:lineRule="auto"/>
        <w:jc w:val="both"/>
        <w:rPr>
          <w:rFonts w:ascii="Arial" w:hAnsi="Arial" w:cs="Arial"/>
          <w:sz w:val="20"/>
          <w:szCs w:val="20"/>
        </w:rPr>
      </w:pPr>
    </w:p>
    <w:p w14:paraId="70D4410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19D01C2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FD530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Si se ha observado la normatividad emitida por el CONAC y las disposiciones legales aplicables.</w:t>
      </w:r>
    </w:p>
    <w:p w14:paraId="10BB35A0" w14:textId="77777777" w:rsidR="00C74DF8" w:rsidRPr="00890082" w:rsidRDefault="00C74DF8" w:rsidP="00C74DF8">
      <w:pPr>
        <w:spacing w:line="240" w:lineRule="auto"/>
        <w:rPr>
          <w:rFonts w:ascii="Arial" w:hAnsi="Arial" w:cs="Arial"/>
          <w:sz w:val="20"/>
          <w:szCs w:val="20"/>
        </w:rPr>
      </w:pPr>
      <w:r w:rsidRPr="00890082">
        <w:rPr>
          <w:rFonts w:ascii="Arial" w:hAnsi="Arial" w:cs="Arial"/>
          <w:sz w:val="20"/>
          <w:szCs w:val="20"/>
        </w:rPr>
        <w:t>Las Bases de Preparación de los Estados Financieros observan en cierta medida la normatividad emitida por el CONAC y las disposiciones legales aplicables</w:t>
      </w:r>
    </w:p>
    <w:p w14:paraId="7904FDB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F8701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95123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8D37D9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lastRenderedPageBreak/>
        <w:t>c)</w:t>
      </w:r>
      <w:r w:rsidRPr="00890082">
        <w:rPr>
          <w:rFonts w:ascii="Arial" w:hAnsi="Arial" w:cs="Arial"/>
          <w:sz w:val="20"/>
          <w:szCs w:val="20"/>
        </w:rPr>
        <w:t xml:space="preserve"> Postulados básicos.</w:t>
      </w:r>
    </w:p>
    <w:p w14:paraId="348500F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Las Bases de Preparación de los Estados Financieros aplican los Postulados Básicos de Registro Contable, el devengo del ingreso, entre otros, aún se encuentra en fase de desarrollo de los diferentes rubros de la información financiera</w:t>
      </w:r>
    </w:p>
    <w:p w14:paraId="6D82BCA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B8D147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Normatividad supletoria. </w:t>
      </w:r>
    </w:p>
    <w:p w14:paraId="7E57B8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650F650" w14:textId="3031CBA4" w:rsidR="00C74DF8" w:rsidRDefault="00C74DF8" w:rsidP="00C74DF8">
      <w:pPr>
        <w:tabs>
          <w:tab w:val="left" w:leader="underscore" w:pos="9639"/>
        </w:tabs>
        <w:spacing w:after="0" w:line="240" w:lineRule="auto"/>
        <w:jc w:val="both"/>
        <w:rPr>
          <w:rFonts w:ascii="Arial" w:hAnsi="Arial" w:cs="Arial"/>
          <w:sz w:val="20"/>
          <w:szCs w:val="20"/>
        </w:rPr>
      </w:pPr>
    </w:p>
    <w:p w14:paraId="015E18DD" w14:textId="11EC984D" w:rsidR="00C74DF8" w:rsidRDefault="00C74DF8" w:rsidP="00C74DF8">
      <w:pPr>
        <w:tabs>
          <w:tab w:val="left" w:leader="underscore" w:pos="9639"/>
        </w:tabs>
        <w:spacing w:after="0" w:line="240" w:lineRule="auto"/>
        <w:jc w:val="both"/>
        <w:rPr>
          <w:rFonts w:ascii="Arial" w:hAnsi="Arial" w:cs="Arial"/>
          <w:sz w:val="20"/>
          <w:szCs w:val="20"/>
        </w:rPr>
      </w:pPr>
    </w:p>
    <w:p w14:paraId="6B0607F1" w14:textId="331AF845" w:rsidR="00C74DF8"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Para las entidades que por primera vez estén implementando la base devengada de acuerdo a la Ley de Contabilidad, deberán:</w:t>
      </w:r>
    </w:p>
    <w:p w14:paraId="616BA12F"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las nuevas políticas de reconocimiento:</w:t>
      </w:r>
    </w:p>
    <w:p w14:paraId="791372FE"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Plan de implementación:</w:t>
      </w:r>
    </w:p>
    <w:p w14:paraId="7A2F8231" w14:textId="77777777" w:rsidR="00C74DF8" w:rsidRPr="00890082" w:rsidRDefault="00C74DF8" w:rsidP="00C74DF8">
      <w:pPr>
        <w:pStyle w:val="Prrafodelista"/>
        <w:numPr>
          <w:ilvl w:val="0"/>
          <w:numId w:val="2"/>
        </w:numPr>
        <w:tabs>
          <w:tab w:val="left" w:leader="underscore" w:pos="9639"/>
        </w:tabs>
        <w:spacing w:after="0" w:line="240" w:lineRule="auto"/>
        <w:ind w:left="720"/>
        <w:jc w:val="both"/>
        <w:rPr>
          <w:rFonts w:ascii="Arial" w:hAnsi="Arial" w:cs="Arial"/>
          <w:sz w:val="20"/>
          <w:szCs w:val="20"/>
        </w:rPr>
      </w:pPr>
      <w:r w:rsidRPr="00890082">
        <w:rPr>
          <w:rFonts w:ascii="Arial" w:hAnsi="Arial" w:cs="Arial"/>
          <w:sz w:val="20"/>
          <w:szCs w:val="20"/>
        </w:rPr>
        <w:t>Revelar los cambios en las políticas, la clasificación y medición de las mismas, así como su impacto en la información financiera:</w:t>
      </w:r>
    </w:p>
    <w:p w14:paraId="0BA27ED3" w14:textId="77777777" w:rsidR="00C74DF8" w:rsidRPr="00890082" w:rsidRDefault="00C74DF8" w:rsidP="00C74DF8">
      <w:pPr>
        <w:pStyle w:val="Prrafodelista"/>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Firmar los EEFF de los Organismos Descentralizados solicitados por el CONAC publicados en el DOF y PO</w:t>
      </w:r>
    </w:p>
    <w:p w14:paraId="73E823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B9BE885" w14:textId="77777777" w:rsidR="00C74DF8" w:rsidRPr="00890082" w:rsidRDefault="00C74DF8" w:rsidP="00C74DF8">
      <w:pPr>
        <w:pStyle w:val="Ttulo2"/>
        <w:spacing w:line="240" w:lineRule="auto"/>
        <w:rPr>
          <w:rFonts w:ascii="Arial" w:hAnsi="Arial" w:cs="Arial"/>
          <w:b/>
          <w:sz w:val="20"/>
          <w:szCs w:val="20"/>
        </w:rPr>
      </w:pPr>
      <w:bookmarkStart w:id="15" w:name="_Toc526939482"/>
      <w:bookmarkStart w:id="16" w:name="_Toc526939560"/>
      <w:bookmarkStart w:id="17" w:name="_Toc69905423"/>
      <w:r w:rsidRPr="00890082">
        <w:rPr>
          <w:rFonts w:ascii="Arial" w:hAnsi="Arial" w:cs="Arial"/>
          <w:b/>
          <w:color w:val="auto"/>
          <w:sz w:val="20"/>
          <w:szCs w:val="20"/>
        </w:rPr>
        <w:t>6. Políticas de Contabilidad Significativas:</w:t>
      </w:r>
      <w:bookmarkEnd w:id="15"/>
      <w:bookmarkEnd w:id="16"/>
      <w:bookmarkEnd w:id="17"/>
    </w:p>
    <w:p w14:paraId="173413C1" w14:textId="77777777" w:rsidR="00C74DF8" w:rsidRDefault="00C74DF8" w:rsidP="00C74DF8">
      <w:pPr>
        <w:tabs>
          <w:tab w:val="left" w:leader="underscore" w:pos="9639"/>
        </w:tabs>
        <w:spacing w:after="0" w:line="240" w:lineRule="auto"/>
        <w:jc w:val="both"/>
        <w:rPr>
          <w:rFonts w:ascii="Arial" w:hAnsi="Arial" w:cs="Arial"/>
          <w:sz w:val="20"/>
          <w:szCs w:val="20"/>
        </w:rPr>
      </w:pPr>
    </w:p>
    <w:p w14:paraId="43E699F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00AE9F09"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4617D61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Actualización: </w:t>
      </w:r>
    </w:p>
    <w:p w14:paraId="1B7DF91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AC8E10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6CEFC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Informar sobre la realización de operaciones en el extranjero y de sus efectos en la información financiera gubernamental:</w:t>
      </w:r>
    </w:p>
    <w:p w14:paraId="49378E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359B2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33106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Método de valuación de la inversión en acciones de Compañías subsidiarias no consolidadas y asociadas:</w:t>
      </w:r>
    </w:p>
    <w:p w14:paraId="1AD290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F697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12CD47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Sistema y método de valuación de inventarios y costo de lo vendido:</w:t>
      </w:r>
    </w:p>
    <w:p w14:paraId="2FE001F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FB863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FBC0A6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Beneficios a empleados:</w:t>
      </w:r>
    </w:p>
    <w:p w14:paraId="0BE6EC9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50EAC3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F20B5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Provisiones: </w:t>
      </w:r>
    </w:p>
    <w:p w14:paraId="76A982A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00766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6EEE21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Reservas: </w:t>
      </w:r>
    </w:p>
    <w:p w14:paraId="656554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B6EE23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7E84E1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56097FF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w:t>
      </w:r>
    </w:p>
    <w:p w14:paraId="457FAB0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DD12C7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i)</w:t>
      </w:r>
      <w:r w:rsidRPr="00890082">
        <w:rPr>
          <w:rFonts w:ascii="Arial" w:hAnsi="Arial" w:cs="Arial"/>
          <w:sz w:val="20"/>
          <w:szCs w:val="20"/>
        </w:rPr>
        <w:t xml:space="preserve"> Reclasificaciones: </w:t>
      </w:r>
    </w:p>
    <w:p w14:paraId="6CA4CEC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99D0BC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8D870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j)</w:t>
      </w:r>
      <w:r w:rsidRPr="00890082">
        <w:rPr>
          <w:rFonts w:ascii="Arial" w:hAnsi="Arial" w:cs="Arial"/>
          <w:sz w:val="20"/>
          <w:szCs w:val="20"/>
        </w:rPr>
        <w:t xml:space="preserve"> Depuración y cancelación de saldos:</w:t>
      </w:r>
    </w:p>
    <w:p w14:paraId="525E283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38BFC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9224FA4" w14:textId="77777777" w:rsidR="00C74DF8" w:rsidRPr="00890082" w:rsidRDefault="00C74DF8" w:rsidP="00C74DF8">
      <w:pPr>
        <w:pStyle w:val="Ttulo2"/>
        <w:spacing w:line="240" w:lineRule="auto"/>
        <w:rPr>
          <w:rFonts w:ascii="Arial" w:hAnsi="Arial" w:cs="Arial"/>
          <w:b/>
          <w:color w:val="auto"/>
          <w:sz w:val="20"/>
          <w:szCs w:val="20"/>
        </w:rPr>
      </w:pPr>
      <w:bookmarkStart w:id="18" w:name="_Toc526939483"/>
      <w:bookmarkStart w:id="19" w:name="_Toc526939561"/>
      <w:bookmarkStart w:id="20" w:name="_Toc69905424"/>
      <w:r w:rsidRPr="00890082">
        <w:rPr>
          <w:rFonts w:ascii="Arial" w:hAnsi="Arial" w:cs="Arial"/>
          <w:b/>
          <w:color w:val="auto"/>
          <w:sz w:val="20"/>
          <w:szCs w:val="20"/>
        </w:rPr>
        <w:t>7. Posición en Moneda Extranjera y Protección por Riesgo Cambiario:</w:t>
      </w:r>
      <w:bookmarkEnd w:id="18"/>
      <w:bookmarkEnd w:id="19"/>
      <w:bookmarkEnd w:id="20"/>
    </w:p>
    <w:p w14:paraId="34564D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sobre:</w:t>
      </w:r>
    </w:p>
    <w:p w14:paraId="6DEEB80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A1761C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Activos en moneda extranjera:</w:t>
      </w:r>
    </w:p>
    <w:p w14:paraId="6E0FCD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F40856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94BADB2" w14:textId="12FAD580"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Pasivos en moneda extranjera:</w:t>
      </w:r>
    </w:p>
    <w:p w14:paraId="07534C5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1A3CA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3A1E22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c) </w:t>
      </w:r>
      <w:r w:rsidRPr="00890082">
        <w:rPr>
          <w:rFonts w:ascii="Arial" w:hAnsi="Arial" w:cs="Arial"/>
          <w:sz w:val="20"/>
          <w:szCs w:val="20"/>
        </w:rPr>
        <w:t>Posición en moneda extranjera:</w:t>
      </w:r>
    </w:p>
    <w:p w14:paraId="146DAD3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E9ACF8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41933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Tipo de cambio:</w:t>
      </w:r>
    </w:p>
    <w:p w14:paraId="75D504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812E5A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801E04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Equivalente en moneda nacional:</w:t>
      </w:r>
    </w:p>
    <w:p w14:paraId="5B0714F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9BBE82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8C6D2C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Lo anterior por cada tipo de moneda extranjera que se encuentre en los rubros de activo y pasivo.</w:t>
      </w:r>
    </w:p>
    <w:p w14:paraId="7E90DA4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informará sobre los métodos de protección de riesgo por variaciones en el tipo de cambio.</w:t>
      </w:r>
    </w:p>
    <w:p w14:paraId="1611F83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A6BE830" w14:textId="77777777" w:rsidR="00C74DF8" w:rsidRPr="00890082" w:rsidRDefault="00C74DF8" w:rsidP="00C74DF8">
      <w:pPr>
        <w:pStyle w:val="Ttulo2"/>
        <w:spacing w:line="240" w:lineRule="auto"/>
        <w:rPr>
          <w:rFonts w:ascii="Arial" w:hAnsi="Arial" w:cs="Arial"/>
          <w:b/>
          <w:color w:val="auto"/>
          <w:sz w:val="20"/>
          <w:szCs w:val="20"/>
        </w:rPr>
      </w:pPr>
      <w:bookmarkStart w:id="21" w:name="_Toc526939484"/>
      <w:bookmarkStart w:id="22" w:name="_Toc526939562"/>
      <w:bookmarkStart w:id="23" w:name="_Toc69905425"/>
      <w:r w:rsidRPr="00890082">
        <w:rPr>
          <w:rFonts w:ascii="Arial" w:hAnsi="Arial" w:cs="Arial"/>
          <w:b/>
          <w:color w:val="auto"/>
          <w:sz w:val="20"/>
          <w:szCs w:val="20"/>
        </w:rPr>
        <w:t>8. Reporte Analítico del Activo:</w:t>
      </w:r>
      <w:bookmarkEnd w:id="21"/>
      <w:bookmarkEnd w:id="22"/>
      <w:bookmarkEnd w:id="23"/>
    </w:p>
    <w:p w14:paraId="28B75899" w14:textId="77777777" w:rsidR="00C74DF8" w:rsidRDefault="00C74DF8" w:rsidP="00C74DF8">
      <w:pPr>
        <w:tabs>
          <w:tab w:val="left" w:leader="underscore" w:pos="9639"/>
        </w:tabs>
        <w:spacing w:after="0" w:line="240" w:lineRule="auto"/>
        <w:jc w:val="both"/>
        <w:rPr>
          <w:rFonts w:ascii="Arial" w:hAnsi="Arial" w:cs="Arial"/>
          <w:sz w:val="20"/>
          <w:szCs w:val="20"/>
        </w:rPr>
      </w:pPr>
    </w:p>
    <w:p w14:paraId="1CCEB34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Debe mostrar la siguiente información:</w:t>
      </w:r>
    </w:p>
    <w:p w14:paraId="40C0B8D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C809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Vida útil o porcentajes de depreciación, deterioro o amortización utilizados en los diferentes tipos de activos:</w:t>
      </w:r>
    </w:p>
    <w:p w14:paraId="2B7C97D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5DAC01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408252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Cambios en el porcentaje de depreciación o valor residual de los activos:</w:t>
      </w:r>
    </w:p>
    <w:p w14:paraId="1785E0C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De conformidad con la norma de CONAC y los alcances del SIHP, actualmente sólo pueden considerarse las 40 clases de activos vigentes.</w:t>
      </w:r>
    </w:p>
    <w:p w14:paraId="060CC7BA"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356DC1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Importe de los gastos capitalizados en el ejercicio, tanto financieros como de investigación y desarrollo:</w:t>
      </w:r>
    </w:p>
    <w:p w14:paraId="264687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AC4FF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27CCC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Riesgos por tipo de cambio o tipo de interés de las inversiones financieras:</w:t>
      </w:r>
    </w:p>
    <w:p w14:paraId="38C08B0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DA34A5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C68A7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 xml:space="preserve">e) </w:t>
      </w:r>
      <w:r w:rsidRPr="00890082">
        <w:rPr>
          <w:rFonts w:ascii="Arial" w:hAnsi="Arial" w:cs="Arial"/>
          <w:sz w:val="20"/>
          <w:szCs w:val="20"/>
        </w:rPr>
        <w:t>Valor activado en el ejercicio de los bienes construidos por la entidad:</w:t>
      </w:r>
    </w:p>
    <w:p w14:paraId="25DD92B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051322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5FE79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f)</w:t>
      </w:r>
      <w:r w:rsidRPr="00890082">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27AD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EAE66D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3AC0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g)</w:t>
      </w:r>
      <w:r w:rsidRPr="00890082">
        <w:rPr>
          <w:rFonts w:ascii="Arial" w:hAnsi="Arial" w:cs="Arial"/>
          <w:sz w:val="20"/>
          <w:szCs w:val="20"/>
        </w:rPr>
        <w:t xml:space="preserve"> Desmantelamiento de Activos, procedimientos, implicaciones, efectos contables:</w:t>
      </w:r>
    </w:p>
    <w:p w14:paraId="38C06D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92AF262"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FA168C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h)</w:t>
      </w:r>
      <w:r w:rsidRPr="00890082">
        <w:rPr>
          <w:rFonts w:ascii="Arial" w:hAnsi="Arial" w:cs="Arial"/>
          <w:sz w:val="20"/>
          <w:szCs w:val="20"/>
        </w:rPr>
        <w:t xml:space="preserve"> Administración de activos; planeación con el objetivo de que el ente los utilice de manera más efectiva:</w:t>
      </w:r>
    </w:p>
    <w:p w14:paraId="3E3E5A1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912E11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453480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Adicionalmente, se deben incluir las explicaciones de las principales variaciones en el activo, en cuadros comparativos como sigue:</w:t>
      </w:r>
    </w:p>
    <w:p w14:paraId="69FE8EB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5B573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Inversiones en valores:</w:t>
      </w:r>
    </w:p>
    <w:p w14:paraId="7D225C2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2A353A0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6FEEDF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Patrimonio de Organismos descentralizados de Control Presupuestario Indirecto:</w:t>
      </w:r>
    </w:p>
    <w:p w14:paraId="0CFAE52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03608A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F5947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c)</w:t>
      </w:r>
      <w:r w:rsidRPr="00890082">
        <w:rPr>
          <w:rFonts w:ascii="Arial" w:hAnsi="Arial" w:cs="Arial"/>
          <w:sz w:val="20"/>
          <w:szCs w:val="20"/>
        </w:rPr>
        <w:t xml:space="preserve"> Inversiones en empresas de participación mayoritaria:</w:t>
      </w:r>
    </w:p>
    <w:p w14:paraId="7F4DE88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6ADF806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B4EC4B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d)</w:t>
      </w:r>
      <w:r w:rsidRPr="00890082">
        <w:rPr>
          <w:rFonts w:ascii="Arial" w:hAnsi="Arial" w:cs="Arial"/>
          <w:sz w:val="20"/>
          <w:szCs w:val="20"/>
        </w:rPr>
        <w:t xml:space="preserve"> Inversiones en empresas de participación minoritaria:</w:t>
      </w:r>
    </w:p>
    <w:p w14:paraId="37DD88B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48D254A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8058C4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e)</w:t>
      </w:r>
      <w:r w:rsidRPr="00890082">
        <w:rPr>
          <w:rFonts w:ascii="Arial" w:hAnsi="Arial" w:cs="Arial"/>
          <w:sz w:val="20"/>
          <w:szCs w:val="20"/>
        </w:rPr>
        <w:t xml:space="preserve"> Patrimonio de organismos descentralizados de control presupuestario directo, según corresponda:</w:t>
      </w:r>
    </w:p>
    <w:p w14:paraId="17E2D6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43DB07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DA898F4" w14:textId="77777777" w:rsidR="00C74DF8" w:rsidRPr="00890082" w:rsidRDefault="00C74DF8" w:rsidP="00C74DF8">
      <w:pPr>
        <w:pStyle w:val="Ttulo2"/>
        <w:spacing w:line="240" w:lineRule="auto"/>
        <w:rPr>
          <w:rFonts w:ascii="Arial" w:hAnsi="Arial" w:cs="Arial"/>
          <w:b/>
          <w:color w:val="auto"/>
          <w:sz w:val="20"/>
          <w:szCs w:val="20"/>
        </w:rPr>
      </w:pPr>
      <w:bookmarkStart w:id="24" w:name="_Toc526939485"/>
      <w:bookmarkStart w:id="25" w:name="_Toc526939563"/>
      <w:bookmarkStart w:id="26" w:name="_Toc69905426"/>
      <w:r w:rsidRPr="00890082">
        <w:rPr>
          <w:rFonts w:ascii="Arial" w:hAnsi="Arial" w:cs="Arial"/>
          <w:b/>
          <w:color w:val="auto"/>
          <w:sz w:val="20"/>
          <w:szCs w:val="20"/>
        </w:rPr>
        <w:t>9. Fideicomisos, Mandatos y Análogos:</w:t>
      </w:r>
      <w:bookmarkEnd w:id="24"/>
      <w:bookmarkEnd w:id="25"/>
      <w:bookmarkEnd w:id="26"/>
    </w:p>
    <w:p w14:paraId="4800B80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deberá informar:</w:t>
      </w:r>
    </w:p>
    <w:p w14:paraId="5EA1F5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647EED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Por ramo administrativo que los reporta:</w:t>
      </w:r>
    </w:p>
    <w:p w14:paraId="10A2244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7570C9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18AD14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Enlistar los de mayor monto de disponibilidad, relacionando aquéllos que conforman el 80% de las disponibilidades:</w:t>
      </w:r>
    </w:p>
    <w:p w14:paraId="658C45A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5158C081"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54DDEE7A" w14:textId="77777777" w:rsidR="00C74DF8" w:rsidRPr="00890082" w:rsidRDefault="00C74DF8" w:rsidP="00C74DF8">
      <w:pPr>
        <w:pStyle w:val="Ttulo2"/>
        <w:spacing w:line="240" w:lineRule="auto"/>
        <w:rPr>
          <w:rFonts w:ascii="Arial" w:hAnsi="Arial" w:cs="Arial"/>
          <w:b/>
          <w:color w:val="auto"/>
          <w:sz w:val="20"/>
          <w:szCs w:val="20"/>
        </w:rPr>
      </w:pPr>
      <w:bookmarkStart w:id="27" w:name="_Toc526939486"/>
      <w:bookmarkStart w:id="28" w:name="_Toc526939564"/>
      <w:bookmarkStart w:id="29" w:name="_Toc69905427"/>
      <w:r w:rsidRPr="00890082">
        <w:rPr>
          <w:rFonts w:ascii="Arial" w:hAnsi="Arial" w:cs="Arial"/>
          <w:b/>
          <w:color w:val="auto"/>
          <w:sz w:val="20"/>
          <w:szCs w:val="20"/>
        </w:rPr>
        <w:t>10. Reporte de la Recaudación:</w:t>
      </w:r>
      <w:bookmarkEnd w:id="27"/>
      <w:bookmarkEnd w:id="28"/>
      <w:bookmarkEnd w:id="29"/>
    </w:p>
    <w:p w14:paraId="6112A17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2C89E8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0576948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12C158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34358E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Proyección de la recaudación e ingresos en el mediano plazo:</w:t>
      </w:r>
    </w:p>
    <w:p w14:paraId="49B7575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99F4768"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E83293E" w14:textId="77777777" w:rsidR="00C74DF8" w:rsidRPr="00890082" w:rsidRDefault="00C74DF8" w:rsidP="00C74DF8">
      <w:pPr>
        <w:pStyle w:val="Ttulo2"/>
        <w:spacing w:line="240" w:lineRule="auto"/>
        <w:rPr>
          <w:rFonts w:ascii="Arial" w:hAnsi="Arial" w:cs="Arial"/>
          <w:b/>
          <w:color w:val="auto"/>
          <w:sz w:val="20"/>
          <w:szCs w:val="20"/>
        </w:rPr>
      </w:pPr>
      <w:bookmarkStart w:id="30" w:name="_Toc526939487"/>
      <w:bookmarkStart w:id="31" w:name="_Toc526939565"/>
      <w:bookmarkStart w:id="32" w:name="_Toc69905428"/>
      <w:r w:rsidRPr="00890082">
        <w:rPr>
          <w:rFonts w:ascii="Arial" w:hAnsi="Arial" w:cs="Arial"/>
          <w:b/>
          <w:color w:val="auto"/>
          <w:sz w:val="20"/>
          <w:szCs w:val="20"/>
        </w:rPr>
        <w:t>11. Información sobre la Deuda y el Reporte Analítico de la Deuda:</w:t>
      </w:r>
      <w:bookmarkEnd w:id="30"/>
      <w:bookmarkEnd w:id="31"/>
      <w:bookmarkEnd w:id="32"/>
    </w:p>
    <w:p w14:paraId="58D1D57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04F6001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Utilizar al menos los siguientes indicadores: deuda respecto al PIB y deuda respecto a la recaudación tomando, como mínimo, un período igual o menor a 5 años.</w:t>
      </w:r>
    </w:p>
    <w:p w14:paraId="6C6DE9A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4FA9F5E6"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Información de manera agrupada por tipo de valor gubernamental o instrumento financiero en la que se consideren intereses, comisiones, tasa, perfil de vencimiento y otros gastos de la deuda.</w:t>
      </w:r>
    </w:p>
    <w:p w14:paraId="464B5BF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Se anexará la información en las notas de desglose.</w:t>
      </w:r>
    </w:p>
    <w:p w14:paraId="5414ADC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385CC12E" w14:textId="77777777" w:rsidR="00C74DF8" w:rsidRPr="00890082" w:rsidRDefault="00C74DF8" w:rsidP="00C74DF8">
      <w:pPr>
        <w:pStyle w:val="Ttulo2"/>
        <w:spacing w:line="240" w:lineRule="auto"/>
        <w:rPr>
          <w:rFonts w:ascii="Arial" w:hAnsi="Arial" w:cs="Arial"/>
          <w:b/>
          <w:color w:val="auto"/>
          <w:sz w:val="20"/>
          <w:szCs w:val="20"/>
        </w:rPr>
      </w:pPr>
      <w:bookmarkStart w:id="33" w:name="_Toc526939488"/>
      <w:bookmarkStart w:id="34" w:name="_Toc526939566"/>
      <w:bookmarkStart w:id="35" w:name="_Toc69905429"/>
      <w:r w:rsidRPr="00890082">
        <w:rPr>
          <w:rFonts w:ascii="Arial" w:hAnsi="Arial" w:cs="Arial"/>
          <w:b/>
          <w:color w:val="auto"/>
          <w:sz w:val="20"/>
          <w:szCs w:val="20"/>
        </w:rPr>
        <w:t>12. Calificaciones otorgadas:</w:t>
      </w:r>
      <w:bookmarkEnd w:id="33"/>
      <w:bookmarkEnd w:id="34"/>
      <w:bookmarkEnd w:id="35"/>
    </w:p>
    <w:p w14:paraId="596BD98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Informar, tanto del ente público como cualquier transacción realizada, que haya sido sujeta a una calificación crediticia:</w:t>
      </w:r>
    </w:p>
    <w:p w14:paraId="1984E564"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1A60DC8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0F937E2" w14:textId="77777777" w:rsidR="00C74DF8" w:rsidRPr="00890082" w:rsidRDefault="00C74DF8" w:rsidP="00C74DF8">
      <w:pPr>
        <w:pStyle w:val="Ttulo2"/>
        <w:spacing w:line="240" w:lineRule="auto"/>
        <w:rPr>
          <w:rFonts w:ascii="Arial" w:hAnsi="Arial" w:cs="Arial"/>
          <w:b/>
          <w:color w:val="auto"/>
          <w:sz w:val="20"/>
          <w:szCs w:val="20"/>
        </w:rPr>
      </w:pPr>
      <w:bookmarkStart w:id="36" w:name="_Toc526939489"/>
      <w:bookmarkStart w:id="37" w:name="_Toc526939567"/>
      <w:bookmarkStart w:id="38" w:name="_Toc69905430"/>
      <w:r w:rsidRPr="00890082">
        <w:rPr>
          <w:rFonts w:ascii="Arial" w:hAnsi="Arial" w:cs="Arial"/>
          <w:b/>
          <w:color w:val="auto"/>
          <w:sz w:val="20"/>
          <w:szCs w:val="20"/>
        </w:rPr>
        <w:t>13. Proceso de Mejora:</w:t>
      </w:r>
      <w:bookmarkEnd w:id="36"/>
      <w:bookmarkEnd w:id="37"/>
      <w:bookmarkEnd w:id="38"/>
    </w:p>
    <w:p w14:paraId="43E190D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informará de:</w:t>
      </w:r>
    </w:p>
    <w:p w14:paraId="3F7EB411" w14:textId="77777777" w:rsidR="00C74DF8" w:rsidRDefault="00C74DF8" w:rsidP="00C74DF8">
      <w:pPr>
        <w:tabs>
          <w:tab w:val="left" w:leader="underscore" w:pos="9639"/>
        </w:tabs>
        <w:spacing w:after="0" w:line="240" w:lineRule="auto"/>
        <w:jc w:val="both"/>
        <w:rPr>
          <w:rFonts w:ascii="Arial" w:hAnsi="Arial" w:cs="Arial"/>
          <w:b/>
          <w:sz w:val="20"/>
          <w:szCs w:val="20"/>
        </w:rPr>
      </w:pPr>
    </w:p>
    <w:p w14:paraId="7ACEC4D7"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a)</w:t>
      </w:r>
      <w:r w:rsidRPr="00890082">
        <w:rPr>
          <w:rFonts w:ascii="Arial" w:hAnsi="Arial" w:cs="Arial"/>
          <w:sz w:val="20"/>
          <w:szCs w:val="20"/>
        </w:rPr>
        <w:t xml:space="preserve"> Principales Políticas de control interno:</w:t>
      </w:r>
    </w:p>
    <w:p w14:paraId="6962760C"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015793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17C78F9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b)</w:t>
      </w:r>
      <w:r w:rsidRPr="00890082">
        <w:rPr>
          <w:rFonts w:ascii="Arial" w:hAnsi="Arial" w:cs="Arial"/>
          <w:sz w:val="20"/>
          <w:szCs w:val="20"/>
        </w:rPr>
        <w:t xml:space="preserve"> Medidas de desempeño financiero, metas y alcance:</w:t>
      </w:r>
    </w:p>
    <w:p w14:paraId="5DDB356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3D9C3DD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2DFE4B76" w14:textId="315F6E01" w:rsidR="00C74DF8" w:rsidRPr="00890082" w:rsidRDefault="00C74DF8" w:rsidP="00C74DF8">
      <w:pPr>
        <w:pStyle w:val="Ttulo2"/>
        <w:spacing w:line="240" w:lineRule="auto"/>
        <w:rPr>
          <w:rFonts w:ascii="Arial" w:hAnsi="Arial" w:cs="Arial"/>
          <w:b/>
          <w:color w:val="auto"/>
          <w:sz w:val="20"/>
          <w:szCs w:val="20"/>
        </w:rPr>
      </w:pPr>
      <w:bookmarkStart w:id="39" w:name="_Toc526939490"/>
      <w:bookmarkStart w:id="40" w:name="_Toc526939568"/>
      <w:bookmarkStart w:id="41" w:name="_Toc69905431"/>
      <w:r w:rsidRPr="00890082">
        <w:rPr>
          <w:rFonts w:ascii="Arial" w:hAnsi="Arial" w:cs="Arial"/>
          <w:b/>
          <w:color w:val="auto"/>
          <w:sz w:val="20"/>
          <w:szCs w:val="20"/>
        </w:rPr>
        <w:t>14. Información por Segmentos:</w:t>
      </w:r>
      <w:bookmarkEnd w:id="39"/>
      <w:bookmarkEnd w:id="40"/>
      <w:bookmarkEnd w:id="41"/>
    </w:p>
    <w:p w14:paraId="0FA1B13B"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918E339"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Consecuentemente, esta información contribuye al análisis más preciso de la situación financiera, grados y fuentes de riesgo y crecimiento potencial de negocio.</w:t>
      </w:r>
    </w:p>
    <w:p w14:paraId="411C8D4E"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7F65C9C4" w14:textId="77777777" w:rsidR="00C74DF8" w:rsidRPr="00890082" w:rsidRDefault="00C74DF8" w:rsidP="00C74DF8">
      <w:pPr>
        <w:pStyle w:val="Ttulo2"/>
        <w:spacing w:line="240" w:lineRule="auto"/>
        <w:rPr>
          <w:rFonts w:ascii="Arial" w:hAnsi="Arial" w:cs="Arial"/>
          <w:b/>
          <w:color w:val="auto"/>
          <w:sz w:val="20"/>
          <w:szCs w:val="20"/>
        </w:rPr>
      </w:pPr>
      <w:bookmarkStart w:id="42" w:name="_Toc526939491"/>
      <w:bookmarkStart w:id="43" w:name="_Toc526939569"/>
      <w:bookmarkStart w:id="44" w:name="_Toc69905432"/>
      <w:r w:rsidRPr="00890082">
        <w:rPr>
          <w:rFonts w:ascii="Arial" w:hAnsi="Arial" w:cs="Arial"/>
          <w:b/>
          <w:color w:val="auto"/>
          <w:sz w:val="20"/>
          <w:szCs w:val="20"/>
        </w:rPr>
        <w:t>15. Eventos Posteriores al Cierre:</w:t>
      </w:r>
      <w:bookmarkEnd w:id="42"/>
      <w:bookmarkEnd w:id="43"/>
      <w:bookmarkEnd w:id="44"/>
    </w:p>
    <w:p w14:paraId="7EFA5BA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890082">
        <w:rPr>
          <w:rFonts w:ascii="Arial" w:hAnsi="Arial" w:cs="Arial"/>
          <w:sz w:val="20"/>
          <w:szCs w:val="20"/>
        </w:rPr>
        <w:cr/>
      </w:r>
    </w:p>
    <w:p w14:paraId="659A6ABB" w14:textId="77777777" w:rsidR="00C74DF8" w:rsidRPr="00890082" w:rsidRDefault="00C74DF8" w:rsidP="00C74DF8">
      <w:pPr>
        <w:pStyle w:val="Ttulo2"/>
        <w:spacing w:line="240" w:lineRule="auto"/>
        <w:rPr>
          <w:rFonts w:ascii="Arial" w:hAnsi="Arial" w:cs="Arial"/>
          <w:b/>
          <w:color w:val="auto"/>
          <w:sz w:val="20"/>
          <w:szCs w:val="20"/>
        </w:rPr>
      </w:pPr>
      <w:bookmarkStart w:id="45" w:name="_Toc526939492"/>
      <w:bookmarkStart w:id="46" w:name="_Toc526939570"/>
      <w:bookmarkStart w:id="47" w:name="_Toc69905433"/>
      <w:r w:rsidRPr="00890082">
        <w:rPr>
          <w:rFonts w:ascii="Arial" w:hAnsi="Arial" w:cs="Arial"/>
          <w:b/>
          <w:color w:val="auto"/>
          <w:sz w:val="20"/>
          <w:szCs w:val="20"/>
        </w:rPr>
        <w:t>16. Partes Relacionadas:</w:t>
      </w:r>
      <w:bookmarkEnd w:id="45"/>
      <w:bookmarkEnd w:id="46"/>
      <w:bookmarkEnd w:id="47"/>
    </w:p>
    <w:p w14:paraId="6FFD8523"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Se debe establecer por escrito que no existen partes relacionadas que pudieran ejercer influencia significativa sobre la toma de decisiones financieras y operativas:</w:t>
      </w:r>
    </w:p>
    <w:p w14:paraId="6BE97D8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Esta nota no le aplica al ente público</w:t>
      </w:r>
    </w:p>
    <w:p w14:paraId="7782BBE0"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p>
    <w:p w14:paraId="6D6E73FD" w14:textId="77777777" w:rsidR="00C74DF8" w:rsidRPr="00890082" w:rsidRDefault="00C74DF8" w:rsidP="00C74DF8">
      <w:pPr>
        <w:pStyle w:val="Ttulo2"/>
        <w:spacing w:line="240" w:lineRule="auto"/>
        <w:rPr>
          <w:rFonts w:ascii="Arial" w:hAnsi="Arial" w:cs="Arial"/>
          <w:b/>
          <w:color w:val="auto"/>
          <w:sz w:val="20"/>
          <w:szCs w:val="20"/>
        </w:rPr>
      </w:pPr>
      <w:bookmarkStart w:id="48" w:name="_Toc526939493"/>
      <w:bookmarkStart w:id="49" w:name="_Toc526939571"/>
      <w:bookmarkStart w:id="50" w:name="_Toc69905434"/>
      <w:r w:rsidRPr="00890082">
        <w:rPr>
          <w:rFonts w:ascii="Arial" w:hAnsi="Arial" w:cs="Arial"/>
          <w:b/>
          <w:color w:val="auto"/>
          <w:sz w:val="20"/>
          <w:szCs w:val="20"/>
        </w:rPr>
        <w:t>17. Responsabilidad Sobre la Presentación Razonable de la Información Contable:</w:t>
      </w:r>
      <w:bookmarkEnd w:id="48"/>
      <w:bookmarkEnd w:id="49"/>
      <w:bookmarkEnd w:id="50"/>
    </w:p>
    <w:p w14:paraId="4164953D"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 xml:space="preserve">La Información Contable está firmada en cada página de la misma y se incluye al final la siguiente leyenda: </w:t>
      </w:r>
    </w:p>
    <w:p w14:paraId="4ABE2764"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7BFA062F"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b/>
          <w:sz w:val="20"/>
          <w:szCs w:val="20"/>
        </w:rPr>
        <w:t>Nota 1</w:t>
      </w:r>
      <w:r w:rsidRPr="00890082">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1CC37A1" w14:textId="77777777" w:rsidR="00C74DF8" w:rsidRPr="00890082" w:rsidRDefault="00C74DF8" w:rsidP="00C74DF8">
      <w:pPr>
        <w:pBdr>
          <w:bottom w:val="single" w:sz="12" w:space="1" w:color="auto"/>
        </w:pBdr>
        <w:tabs>
          <w:tab w:val="left" w:leader="underscore" w:pos="9639"/>
        </w:tabs>
        <w:spacing w:after="0" w:line="240" w:lineRule="auto"/>
        <w:jc w:val="both"/>
        <w:rPr>
          <w:rFonts w:ascii="Arial" w:hAnsi="Arial" w:cs="Arial"/>
          <w:sz w:val="20"/>
          <w:szCs w:val="20"/>
        </w:rPr>
      </w:pPr>
    </w:p>
    <w:p w14:paraId="527EED62" w14:textId="77777777" w:rsidR="00C74DF8" w:rsidRDefault="00C74DF8" w:rsidP="00C74DF8">
      <w:pPr>
        <w:tabs>
          <w:tab w:val="left" w:leader="underscore" w:pos="9639"/>
        </w:tabs>
        <w:spacing w:after="0" w:line="240" w:lineRule="auto"/>
        <w:jc w:val="both"/>
        <w:rPr>
          <w:rFonts w:ascii="Arial" w:hAnsi="Arial" w:cs="Arial"/>
          <w:sz w:val="20"/>
          <w:szCs w:val="20"/>
        </w:rPr>
      </w:pPr>
    </w:p>
    <w:p w14:paraId="6A65B6E5" w14:textId="77777777" w:rsidR="00C74DF8" w:rsidRPr="00890082" w:rsidRDefault="00C74DF8" w:rsidP="00C74DF8">
      <w:pPr>
        <w:tabs>
          <w:tab w:val="left" w:leader="underscore" w:pos="9639"/>
        </w:tabs>
        <w:spacing w:after="0" w:line="240" w:lineRule="auto"/>
        <w:jc w:val="both"/>
        <w:rPr>
          <w:rFonts w:ascii="Arial" w:hAnsi="Arial" w:cs="Arial"/>
          <w:sz w:val="20"/>
          <w:szCs w:val="20"/>
        </w:rPr>
      </w:pPr>
      <w:r w:rsidRPr="00890082">
        <w:rPr>
          <w:rFonts w:ascii="Arial" w:hAnsi="Arial" w:cs="Arial"/>
          <w:sz w:val="20"/>
          <w:szCs w:val="20"/>
        </w:rPr>
        <w:t>“Bajo protesta de decir verdad declaramos que los Estados Financieros y sus notas, son razonablemente correctos y son responsabilidad del emisor”. Lo anterior, no es aplicable para la información contable consolidada.</w:t>
      </w:r>
    </w:p>
    <w:p w14:paraId="74D16815" w14:textId="515E95D3" w:rsidR="00D5018E" w:rsidRPr="00E74967" w:rsidRDefault="00C51690" w:rsidP="00C74DF8">
      <w:pPr>
        <w:pStyle w:val="Ttulo2"/>
        <w:rPr>
          <w:rFonts w:cs="Calibri"/>
        </w:rPr>
      </w:pPr>
      <w:r>
        <w:rPr>
          <w:noProof/>
        </w:rPr>
        <mc:AlternateContent>
          <mc:Choice Requires="wpg">
            <w:drawing>
              <wp:anchor distT="0" distB="0" distL="114300" distR="114300" simplePos="0" relativeHeight="251660288" behindDoc="0" locked="0" layoutInCell="1" allowOverlap="1" wp14:anchorId="34A69239" wp14:editId="459577F6">
                <wp:simplePos x="0" y="0"/>
                <wp:positionH relativeFrom="margin">
                  <wp:align>center</wp:align>
                </wp:positionH>
                <wp:positionV relativeFrom="paragraph">
                  <wp:posOffset>494516</wp:posOffset>
                </wp:positionV>
                <wp:extent cx="6317672" cy="914400"/>
                <wp:effectExtent l="0" t="0" r="6985" b="0"/>
                <wp:wrapNone/>
                <wp:docPr id="2" name="Grupo 1">
                  <a:extLst xmlns:a="http://schemas.openxmlformats.org/drawingml/2006/main">
                    <a:ext uri="{FF2B5EF4-FFF2-40B4-BE49-F238E27FC236}">
                      <a16:creationId xmlns:a16="http://schemas.microsoft.com/office/drawing/2014/main" id="{60F1ABE3-D59C-4CB4-80BA-3934609A5049}"/>
                    </a:ext>
                  </a:extLst>
                </wp:docPr>
                <wp:cNvGraphicFramePr/>
                <a:graphic xmlns:a="http://schemas.openxmlformats.org/drawingml/2006/main">
                  <a:graphicData uri="http://schemas.microsoft.com/office/word/2010/wordprocessingGroup">
                    <wpg:wgp>
                      <wpg:cNvGrpSpPr/>
                      <wpg:grpSpPr>
                        <a:xfrm>
                          <a:off x="0" y="0"/>
                          <a:ext cx="6317672" cy="914400"/>
                          <a:chOff x="100989" y="0"/>
                          <a:chExt cx="6198565" cy="476250"/>
                        </a:xfrm>
                      </wpg:grpSpPr>
                      <wps:wsp>
                        <wps:cNvPr id="1" name="Cuadro de texto 1">
                          <a:extLst>
                            <a:ext uri="{FF2B5EF4-FFF2-40B4-BE49-F238E27FC236}">
                              <a16:creationId xmlns:a16="http://schemas.microsoft.com/office/drawing/2014/main" id="{CDAB1FF7-BF13-49F0-806F-DE025670F4BC}"/>
                            </a:ext>
                          </a:extLst>
                        </wps:cNvPr>
                        <wps:cNvSpPr txBox="1"/>
                        <wps:spPr>
                          <a:xfrm>
                            <a:off x="100989" y="0"/>
                            <a:ext cx="2718310" cy="476250"/>
                          </a:xfrm>
                          <a:prstGeom prst="rect">
                            <a:avLst/>
                          </a:prstGeom>
                          <a:solidFill>
                            <a:schemeClr val="lt1"/>
                          </a:solidFill>
                          <a:ln w="6350">
                            <a:noFill/>
                          </a:ln>
                        </wps:spPr>
                        <wps:txbx>
                          <w:txbxContent>
                            <w:p w14:paraId="4FDA661A" w14:textId="3CE51DD9" w:rsidR="00C51690" w:rsidRDefault="00C51690" w:rsidP="00C51690">
                              <w:pPr>
                                <w:spacing w:line="256" w:lineRule="auto"/>
                                <w:jc w:val="center"/>
                                <w:rPr>
                                  <w:sz w:val="21"/>
                                  <w:szCs w:val="21"/>
                                </w:rPr>
                              </w:pPr>
                              <w:r>
                                <w:rPr>
                                  <w:sz w:val="21"/>
                                  <w:szCs w:val="21"/>
                                </w:rPr>
                                <w:t>______________________________________</w:t>
                              </w:r>
                            </w:p>
                            <w:p w14:paraId="088BCAAA" w14:textId="77777777" w:rsidR="00C51690" w:rsidRDefault="00C51690" w:rsidP="00C51690">
                              <w:pPr>
                                <w:spacing w:after="0" w:line="256" w:lineRule="auto"/>
                                <w:jc w:val="center"/>
                                <w:rPr>
                                  <w:b/>
                                  <w:bCs/>
                                  <w:sz w:val="21"/>
                                  <w:szCs w:val="21"/>
                                </w:rPr>
                              </w:pPr>
                              <w:r>
                                <w:rPr>
                                  <w:b/>
                                  <w:bCs/>
                                  <w:sz w:val="21"/>
                                  <w:szCs w:val="21"/>
                                </w:rPr>
                                <w:t>LICENCIADO JOSÉ JESÚS CORREA RAMÍREZ</w:t>
                              </w:r>
                            </w:p>
                            <w:p w14:paraId="75EA9FB7" w14:textId="77777777" w:rsidR="00C51690" w:rsidRDefault="00C51690" w:rsidP="00C51690">
                              <w:pPr>
                                <w:spacing w:after="0" w:line="256" w:lineRule="auto"/>
                                <w:jc w:val="center"/>
                                <w:rPr>
                                  <w:sz w:val="21"/>
                                  <w:szCs w:val="21"/>
                                </w:rPr>
                              </w:pPr>
                              <w:r>
                                <w:rPr>
                                  <w:sz w:val="21"/>
                                  <w:szCs w:val="21"/>
                                </w:rPr>
                                <w:t>DIRECTOR GENERAL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Cuadro de texto 2">
                          <a:extLst>
                            <a:ext uri="{FF2B5EF4-FFF2-40B4-BE49-F238E27FC236}">
                              <a16:creationId xmlns:a16="http://schemas.microsoft.com/office/drawing/2014/main" id="{6314FB30-095C-4666-95ED-4A3EA77797B6}"/>
                            </a:ext>
                          </a:extLst>
                        </wps:cNvPr>
                        <wps:cNvSpPr txBox="1"/>
                        <wps:spPr>
                          <a:xfrm>
                            <a:off x="3557188" y="0"/>
                            <a:ext cx="2742366" cy="476250"/>
                          </a:xfrm>
                          <a:prstGeom prst="rect">
                            <a:avLst/>
                          </a:prstGeom>
                          <a:solidFill>
                            <a:schemeClr val="lt1"/>
                          </a:solidFill>
                          <a:ln w="6350">
                            <a:noFill/>
                          </a:ln>
                        </wps:spPr>
                        <wps:txbx>
                          <w:txbxContent>
                            <w:p w14:paraId="65054F14" w14:textId="1873C83A" w:rsidR="00C51690" w:rsidRDefault="00C51690" w:rsidP="00C51690">
                              <w:pPr>
                                <w:spacing w:line="256" w:lineRule="auto"/>
                                <w:jc w:val="center"/>
                                <w:rPr>
                                  <w:sz w:val="21"/>
                                  <w:szCs w:val="21"/>
                                </w:rPr>
                              </w:pPr>
                              <w:r>
                                <w:rPr>
                                  <w:sz w:val="21"/>
                                  <w:szCs w:val="21"/>
                                </w:rPr>
                                <w:t>______________________________________</w:t>
                              </w:r>
                            </w:p>
                            <w:p w14:paraId="17B79420" w14:textId="77777777" w:rsidR="00C51690" w:rsidRDefault="00C51690" w:rsidP="00C51690">
                              <w:pPr>
                                <w:spacing w:after="0" w:line="256" w:lineRule="auto"/>
                                <w:jc w:val="center"/>
                                <w:rPr>
                                  <w:b/>
                                  <w:bCs/>
                                  <w:sz w:val="21"/>
                                  <w:szCs w:val="21"/>
                                </w:rPr>
                              </w:pPr>
                              <w:r>
                                <w:rPr>
                                  <w:b/>
                                  <w:bCs/>
                                  <w:sz w:val="21"/>
                                  <w:szCs w:val="21"/>
                                </w:rPr>
                                <w:t>CONTADOR JUAN PONCE CALDERÓN</w:t>
                              </w:r>
                            </w:p>
                            <w:p w14:paraId="78BA4BA4" w14:textId="77777777" w:rsidR="00C51690" w:rsidRDefault="00C51690" w:rsidP="00C51690">
                              <w:pPr>
                                <w:spacing w:after="0" w:line="256" w:lineRule="auto"/>
                                <w:jc w:val="center"/>
                                <w:rPr>
                                  <w:sz w:val="21"/>
                                  <w:szCs w:val="21"/>
                                </w:rPr>
                              </w:pPr>
                              <w:r>
                                <w:rPr>
                                  <w:sz w:val="21"/>
                                  <w:szCs w:val="21"/>
                                </w:rPr>
                                <w:t>DIRECTOR DE ADMINISTRACIÓN</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69239" id="Grupo 1" o:spid="_x0000_s1026" style="position:absolute;margin-left:0;margin-top:38.95pt;width:497.45pt;height:1in;z-index:251660288;mso-position-horizontal:center;mso-position-horizontal-relative:margin;mso-width-relative:margin;mso-height-relative:margin" coordorigin="1009" coordsize="61985,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">
                <v:shapetype id="_x0000_t202" coordsize="21600,21600" o:spt="202" path="m,l,21600r21600,l21600,xe">
                  <v:stroke joinstyle="miter"/>
                  <v:path gradientshapeok="t" o:connecttype="rect"/>
                </v:shapetype>
                <v:shape id="Cuadro de texto 1" o:spid="_x0000_s1027" type="#_x0000_t202" style="position:absolute;left:1009;width:27183;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4FDA661A" w14:textId="3CE51DD9" w:rsidR="00C51690" w:rsidRDefault="00C51690" w:rsidP="00C51690">
                        <w:pPr>
                          <w:spacing w:line="256" w:lineRule="auto"/>
                          <w:jc w:val="center"/>
                          <w:rPr>
                            <w:sz w:val="21"/>
                            <w:szCs w:val="21"/>
                          </w:rPr>
                        </w:pPr>
                        <w:r>
                          <w:rPr>
                            <w:sz w:val="21"/>
                            <w:szCs w:val="21"/>
                          </w:rPr>
                          <w:t>______________________________________</w:t>
                        </w:r>
                      </w:p>
                      <w:p w14:paraId="088BCAAA" w14:textId="77777777" w:rsidR="00C51690" w:rsidRDefault="00C51690" w:rsidP="00C51690">
                        <w:pPr>
                          <w:spacing w:after="0" w:line="256" w:lineRule="auto"/>
                          <w:jc w:val="center"/>
                          <w:rPr>
                            <w:b/>
                            <w:bCs/>
                            <w:sz w:val="21"/>
                            <w:szCs w:val="21"/>
                          </w:rPr>
                        </w:pPr>
                        <w:r>
                          <w:rPr>
                            <w:b/>
                            <w:bCs/>
                            <w:sz w:val="21"/>
                            <w:szCs w:val="21"/>
                          </w:rPr>
                          <w:t>LICENCIADO JOSÉ JESÚS CORREA RAMÍREZ</w:t>
                        </w:r>
                      </w:p>
                      <w:p w14:paraId="75EA9FB7" w14:textId="77777777" w:rsidR="00C51690" w:rsidRDefault="00C51690" w:rsidP="00C51690">
                        <w:pPr>
                          <w:spacing w:after="0" w:line="256" w:lineRule="auto"/>
                          <w:jc w:val="center"/>
                          <w:rPr>
                            <w:sz w:val="21"/>
                            <w:szCs w:val="21"/>
                          </w:rPr>
                        </w:pPr>
                        <w:r>
                          <w:rPr>
                            <w:sz w:val="21"/>
                            <w:szCs w:val="21"/>
                          </w:rPr>
                          <w:t>DIRECTOR GENERAL</w:t>
                        </w:r>
                      </w:p>
                    </w:txbxContent>
                  </v:textbox>
                </v:shape>
                <v:shape id="Cuadro de texto 2" o:spid="_x0000_s1028" type="#_x0000_t202" style="position:absolute;left:35571;width:2742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65054F14" w14:textId="1873C83A" w:rsidR="00C51690" w:rsidRDefault="00C51690" w:rsidP="00C51690">
                        <w:pPr>
                          <w:spacing w:line="256" w:lineRule="auto"/>
                          <w:jc w:val="center"/>
                          <w:rPr>
                            <w:sz w:val="21"/>
                            <w:szCs w:val="21"/>
                          </w:rPr>
                        </w:pPr>
                        <w:r>
                          <w:rPr>
                            <w:sz w:val="21"/>
                            <w:szCs w:val="21"/>
                          </w:rPr>
                          <w:t>______________________________________</w:t>
                        </w:r>
                      </w:p>
                      <w:p w14:paraId="17B79420" w14:textId="77777777" w:rsidR="00C51690" w:rsidRDefault="00C51690" w:rsidP="00C51690">
                        <w:pPr>
                          <w:spacing w:after="0" w:line="256" w:lineRule="auto"/>
                          <w:jc w:val="center"/>
                          <w:rPr>
                            <w:b/>
                            <w:bCs/>
                            <w:sz w:val="21"/>
                            <w:szCs w:val="21"/>
                          </w:rPr>
                        </w:pPr>
                        <w:r>
                          <w:rPr>
                            <w:b/>
                            <w:bCs/>
                            <w:sz w:val="21"/>
                            <w:szCs w:val="21"/>
                          </w:rPr>
                          <w:t>CONTADOR JUAN PONCE CALDERÓN</w:t>
                        </w:r>
                      </w:p>
                      <w:p w14:paraId="78BA4BA4" w14:textId="77777777" w:rsidR="00C51690" w:rsidRDefault="00C51690" w:rsidP="00C51690">
                        <w:pPr>
                          <w:spacing w:after="0" w:line="256" w:lineRule="auto"/>
                          <w:jc w:val="center"/>
                          <w:rPr>
                            <w:sz w:val="21"/>
                            <w:szCs w:val="21"/>
                          </w:rPr>
                        </w:pPr>
                        <w:r>
                          <w:rPr>
                            <w:sz w:val="21"/>
                            <w:szCs w:val="21"/>
                          </w:rPr>
                          <w:t>DIRECTOR DE ADMINISTRACIÓN</w:t>
                        </w:r>
                      </w:p>
                    </w:txbxContent>
                  </v:textbox>
                </v:shape>
                <w10:wrap anchorx="margin"/>
              </v:group>
            </w:pict>
          </mc:Fallback>
        </mc:AlternateContent>
      </w: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00E7" w14:textId="77777777" w:rsidR="004C2FD9" w:rsidRDefault="004C2FD9" w:rsidP="00E00323">
      <w:pPr>
        <w:spacing w:after="0" w:line="240" w:lineRule="auto"/>
      </w:pPr>
      <w:r>
        <w:separator/>
      </w:r>
    </w:p>
  </w:endnote>
  <w:endnote w:type="continuationSeparator" w:id="0">
    <w:p w14:paraId="019DD04C" w14:textId="77777777" w:rsidR="004C2FD9" w:rsidRDefault="004C2FD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378E" w14:textId="3A66591C" w:rsidR="0012405A" w:rsidRDefault="0012405A">
    <w:pPr>
      <w:pStyle w:val="Piedepgina"/>
      <w:jc w:val="right"/>
    </w:pPr>
  </w:p>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CC87" w14:textId="77777777" w:rsidR="004C2FD9" w:rsidRDefault="004C2FD9" w:rsidP="00E00323">
      <w:pPr>
        <w:spacing w:after="0" w:line="240" w:lineRule="auto"/>
      </w:pPr>
      <w:r>
        <w:separator/>
      </w:r>
    </w:p>
  </w:footnote>
  <w:footnote w:type="continuationSeparator" w:id="0">
    <w:p w14:paraId="5D86F663" w14:textId="77777777" w:rsidR="004C2FD9" w:rsidRDefault="004C2FD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4901" w14:textId="77777777" w:rsidR="00C74DF8" w:rsidRDefault="00C74DF8" w:rsidP="00A4610E">
    <w:pPr>
      <w:pStyle w:val="Encabezado"/>
      <w:spacing w:after="0" w:line="240" w:lineRule="auto"/>
      <w:jc w:val="center"/>
    </w:pPr>
    <w:r w:rsidRPr="00C74DF8">
      <w:t>INSTITUTO DE ALFABETIZACIÓN Y EDUCACIÓN BASICA PARA ADULTOS DEL ESTADO DE GTO.</w:t>
    </w:r>
  </w:p>
  <w:p w14:paraId="651A4C4F" w14:textId="3FC93E70" w:rsidR="00A4610E" w:rsidRDefault="00CB3E8A" w:rsidP="000E0255">
    <w:pPr>
      <w:pStyle w:val="Encabezado"/>
      <w:spacing w:after="0" w:line="240" w:lineRule="auto"/>
      <w:jc w:val="center"/>
    </w:pPr>
    <w:r>
      <w:t>Correspondiente al 30</w:t>
    </w:r>
    <w:r w:rsidR="000E0255">
      <w:t xml:space="preserve"> de septiembre </w:t>
    </w:r>
    <w:r w:rsidR="00C74DF8" w:rsidRPr="00C74DF8">
      <w:t>de 202</w:t>
    </w:r>
    <w:r w:rsidR="00AE5118">
      <w:t>2</w:t>
    </w:r>
  </w:p>
  <w:p w14:paraId="6E43AD99" w14:textId="77777777" w:rsidR="00AE5118" w:rsidRDefault="00AE5118" w:rsidP="00AE5118">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452DF2"/>
    <w:multiLevelType w:val="hybridMultilevel"/>
    <w:tmpl w:val="BA9EEB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754887971">
    <w:abstractNumId w:val="0"/>
  </w:num>
  <w:num w:numId="2" w16cid:durableId="870335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0E0255"/>
    <w:rsid w:val="0012405A"/>
    <w:rsid w:val="00154BA3"/>
    <w:rsid w:val="001973A2"/>
    <w:rsid w:val="001C75F2"/>
    <w:rsid w:val="001D2063"/>
    <w:rsid w:val="001D43E9"/>
    <w:rsid w:val="00232175"/>
    <w:rsid w:val="0027151B"/>
    <w:rsid w:val="003453CA"/>
    <w:rsid w:val="00435A87"/>
    <w:rsid w:val="00442BF7"/>
    <w:rsid w:val="004A3FAB"/>
    <w:rsid w:val="004A58C8"/>
    <w:rsid w:val="004C2FD9"/>
    <w:rsid w:val="004D5B52"/>
    <w:rsid w:val="004F234D"/>
    <w:rsid w:val="0054701E"/>
    <w:rsid w:val="005B5531"/>
    <w:rsid w:val="005D3E43"/>
    <w:rsid w:val="005E231E"/>
    <w:rsid w:val="00657009"/>
    <w:rsid w:val="00671426"/>
    <w:rsid w:val="00681C79"/>
    <w:rsid w:val="007610BC"/>
    <w:rsid w:val="007714AB"/>
    <w:rsid w:val="00781CC4"/>
    <w:rsid w:val="007D1E76"/>
    <w:rsid w:val="007D4484"/>
    <w:rsid w:val="0086459F"/>
    <w:rsid w:val="008C3BB8"/>
    <w:rsid w:val="008E076C"/>
    <w:rsid w:val="0092765C"/>
    <w:rsid w:val="00A4610E"/>
    <w:rsid w:val="00A730E0"/>
    <w:rsid w:val="00AA41E5"/>
    <w:rsid w:val="00AB722B"/>
    <w:rsid w:val="00AE1F6A"/>
    <w:rsid w:val="00AE5118"/>
    <w:rsid w:val="00C51690"/>
    <w:rsid w:val="00C74DF8"/>
    <w:rsid w:val="00C97E1E"/>
    <w:rsid w:val="00CB3E8A"/>
    <w:rsid w:val="00CB41C4"/>
    <w:rsid w:val="00CF1316"/>
    <w:rsid w:val="00D13C44"/>
    <w:rsid w:val="00D40FC2"/>
    <w:rsid w:val="00D5018E"/>
    <w:rsid w:val="00D975B1"/>
    <w:rsid w:val="00E00323"/>
    <w:rsid w:val="00E74967"/>
    <w:rsid w:val="00E7559F"/>
    <w:rsid w:val="00EA37F5"/>
    <w:rsid w:val="00EA7915"/>
    <w:rsid w:val="00EC50B6"/>
    <w:rsid w:val="00F1483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442BF7"/>
    <w:pPr>
      <w:tabs>
        <w:tab w:val="right" w:leader="dot" w:pos="9678"/>
      </w:tabs>
      <w:spacing w:after="100"/>
      <w:ind w:left="220"/>
    </w:pPr>
    <w:rPr>
      <w:rFonts w:ascii="Arial" w:hAnsi="Arial" w:cs="Arial"/>
      <w:b/>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FFAF6B49-BF8E-428E-BF8E-A662382FF5AA}">
  <ds:schemaRefs>
    <ds:schemaRef ds:uri="http://schemas.openxmlformats.org/officeDocument/2006/bibliography"/>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2034</Words>
  <Characters>11188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13196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Octavio de Jesus Diaz Gaona</cp:lastModifiedBy>
  <cp:revision>5</cp:revision>
  <cp:lastPrinted>2022-10-20T03:47:00Z</cp:lastPrinted>
  <dcterms:created xsi:type="dcterms:W3CDTF">2022-07-14T16:47:00Z</dcterms:created>
  <dcterms:modified xsi:type="dcterms:W3CDTF">2022-10-20T03:48:00Z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